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before="360" w:after="40"/>
        <w:jc w:val="left"/>
      </w:pPr>
      <w:r>
        <w:rPr>
          <w:rFonts w:ascii="Playfair Display" w:cs="Playfair Display" w:eastAsia="Playfair Display" w:hAnsi="Playfair Display"/>
          <w:b/>
          <w:bCs/>
          <w:color w:val="0F172A"/>
          <w:sz w:val="56"/>
          <w:szCs w:val="56"/>
        </w:rPr>
        <w:t xml:space="preserve">Networking Goals Planner</w:t>
      </w:r>
    </w:p>
    <w:p>
      <w:pPr>
        <w:spacing w:after="300"/>
        <w:jc w:val="left"/>
      </w:pPr>
      <w:r>
        <w:rPr>
          <w:rFonts w:ascii="Inter" w:cs="Inter" w:eastAsia="Inter" w:hAnsi="Inter"/>
          <w:color w:val="475569"/>
          <w:sz w:val="24"/>
          <w:szCs w:val="24"/>
        </w:rPr>
        <w:t xml:space="preserve">Stop networking by accident — build the network your career needs</w:t>
      </w:r>
    </w:p>
    <w:p>
      <w:pPr>
        <w:keepNext/>
        <w:keepLines/>
        <w:spacing w:before="120" w:after="40"/>
        <w:jc w:val="center"/>
      </w:pPr>
      <w:r>
        <w:drawing>
          <wp:inline distT="0" distB="0" distL="0" distR="0">
            <wp:extent cx="2667000" cy="2000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Lines/>
        <w:spacing w:after="160"/>
        <w:jc w:val="center"/>
      </w:pPr>
      <w:r>
        <w:rPr>
          <w:rFonts w:ascii="Inter" w:cs="Inter" w:eastAsia="Inter" w:hAnsi="Inter"/>
          <w:i/>
          <w:iCs/>
          <w:color w:val="64748B"/>
          <w:sz w:val="18"/>
          <w:szCs w:val="18"/>
        </w:rPr>
        <w:t xml:space="preserve">Strategic planning for your professional network</w:t>
      </w:r>
    </w:p>
    <w:p>
      <w:r>
        <w:t xml:space="preserve">Most people network when they suddenly need something — which is the worst possible time. This planner flips that around: decide who you want in your corner, then use your Coffee &amp; Law matches to get there on purpose. Work through it once, revisit it each quarter, and watch a deliberate network take shape.</w:t>
      </w:r>
    </w:p>
    <w:p>
      <w:r>
        <w:br w:type="page"/>
      </w:r>
    </w:p>
    <w:p>
      <w:pPr>
        <w:pStyle w:val="Heading1"/>
      </w:pPr>
      <w:r>
        <w:t xml:space="preserve">Part 1: Where you’re headed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Picture your career five years from now. Where are you, and what are you doing?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Style w:val="Heading2"/>
      </w:pPr>
      <w:r>
        <w:t xml:space="preserve">Who do you need in your corner to get there?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Practice area experts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Industry specialists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Leadership mentors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Peer collaborators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Business development contacts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r>
        <w:br w:type="page"/>
      </w:r>
    </w:p>
    <w:p>
      <w:pPr>
        <w:pStyle w:val="Heading1"/>
      </w:pPr>
      <w:r>
        <w:t xml:space="preserve">Part 2: Where you stand today</w:t>
      </w:r>
    </w:p>
    <w:p>
      <w:r>
        <w:t xml:space="preserve">Be honest about who you actually know inside the firm right now — this is your starting map: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Partners I know well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Associates in other practice groups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Colleagues in other offices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People I could call for advice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People who would refer work to me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Style w:val="Heading2"/>
      </w:pPr>
      <w:r>
        <w:t xml:space="preserve">Network Gaps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What types of connections are missing from your network?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r>
        <w:br w:type="page"/>
      </w:r>
    </w:p>
    <w:p>
      <w:pPr>
        <w:pStyle w:val="Heading1"/>
      </w:pPr>
      <w:r>
        <w:t xml:space="preserve">Part 3: Your plan, quarter by quarter</w:t>
      </w:r>
    </w:p>
    <w:p>
      <w:pPr>
        <w:pStyle w:val="Heading2"/>
      </w:pPr>
      <w:r>
        <w:t xml:space="preserve">Q1 Goals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Target connections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Practice groups to reach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Specific people to meet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Success measure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Style w:val="Heading2"/>
      </w:pPr>
      <w:r>
        <w:t xml:space="preserve">Q2 Goals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Target connections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Practice groups to reach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Specific people to meet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Success measure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Style w:val="Heading2"/>
      </w:pPr>
      <w:r>
        <w:t xml:space="preserve">Q3 Goals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Target connections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Practice groups to reach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Specific people to meet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Success measure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Style w:val="Heading2"/>
      </w:pPr>
      <w:r>
        <w:t xml:space="preserve">Q4 Goals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Target connections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Practice groups to reach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Specific people to meet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Success measure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r>
        <w:br w:type="page"/>
      </w:r>
    </w:p>
    <w:p>
      <w:pPr>
        <w:pStyle w:val="Heading1"/>
      </w:pPr>
      <w:r>
        <w:t xml:space="preserve">Part 4: Track your connections</w:t>
      </w:r>
    </w:p>
    <w:p>
      <w:r>
        <w:t xml:space="preserve">Keep a running log of every Coffee &amp; Law chat — momentum is easier to see when it’s written down: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Date</w:t>
            </w:r>
          </w:p>
        </w:tc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Name</w:t>
            </w:r>
          </w:p>
        </w:tc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Practice/Office</w:t>
            </w:r>
          </w:p>
        </w:tc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Follow-up?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</w:tbl>
    <w:sectPr>
      <w:headerReference w:type="default" r:id="rId6"/>
      <w:footerReference w:type="default" r:id="rId7"/>
      <w:pgSz w:w="11906" w:h="16838" w:orient="portrait"/>
      <w:pgMar w:top="1440" w:right="1080" w:bottom="1440" w:left="108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1906"/>
      <w:tblInd w:type="dxa" w:w="-108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1780"/>
      <w:gridCol w:w="10126"/>
    </w:tblGrid>
    <w:tr>
      <w:trPr>
        <w:trHeight w:val="780" w:hRule="exact"/>
      </w:trPr>
      <w:tc>
        <w:tcPr>
          <w:tcW w:type="dxa" w:w="178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08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3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0126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08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6575"/>
          <wp:effectExtent t="0" r="0" b="0" l="0"/>
          <wp:wrapNone/>
          <wp:docPr id="5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af6a832ee6bf114afa42088172422f1fa74973ec.png"/><Relationship Id="rId9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37267850775ff5bb2b1e2fc52089269a395cac9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2026-06-28T07:59:35.613Z</dcterms:created>
  <dcterms:modified xsi:type="dcterms:W3CDTF">2026-06-28T07:59:35.613Z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