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keepNext/>
        <w:spacing w:before="360" w:after="40"/>
        <w:jc w:val="left"/>
      </w:pPr>
      <w:r>
        <w:rPr>
          <w:rFonts w:ascii="Playfair Display" w:cs="Playfair Display" w:eastAsia="Playfair Display" w:hAnsi="Playfair Display"/>
          <w:b/>
          <w:bCs/>
          <w:color w:val="0F172A"/>
          <w:sz w:val="56"/>
          <w:szCs w:val="56"/>
        </w:rPr>
        <w:t xml:space="preserve">Success Stories</w:t>
      </w:r>
    </w:p>
    <w:p>
      <w:pPr>
        <w:spacing w:after="300"/>
        <w:jc w:val="left"/>
      </w:pPr>
      <w:r>
        <w:rPr>
          <w:rFonts w:ascii="Inter" w:cs="Inter" w:eastAsia="Inter" w:hAnsi="Inter"/>
          <w:color w:val="475569"/>
          <w:sz w:val="24"/>
          <w:szCs w:val="24"/>
        </w:rPr>
        <w:t xml:space="preserve">Six coffees that quietly changed careers, clients, and firms</w:t>
      </w:r>
    </w:p>
    <w:p>
      <w:pPr>
        <w:keepNext/>
        <w:keepLines/>
        <w:spacing w:before="120" w:after="40"/>
        <w:jc w:val="center"/>
      </w:pPr>
      <w:r>
        <w:drawing>
          <wp:inline distT="0" distB="0" distL="0" distR="0">
            <wp:extent cx="2667000" cy="20002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descr=""/>
                    <pic:cNvPicPr>
                      <a:picLocks noChangeAspect="1" noChangeArrowheads="1"/>
                    </pic:cNvPicPr>
                  </pic:nvPicPr>
                  <pic:blipFill>
                    <a:blip r:embed="rId8" cstate="none"/>
                    <a:srcRect/>
                    <a:stretch>
                      <a:fillRect/>
                    </a:stretch>
                  </pic:blipFill>
                  <pic:spPr bwMode="auto">
                    <a:xfrm>
                      <a:off x="0" y="0"/>
                      <a:ext cx="2667000" cy="2000250"/>
                    </a:xfrm>
                    <a:prstGeom prst="rect">
                      <a:avLst/>
                    </a:prstGeom>
                  </pic:spPr>
                </pic:pic>
              </a:graphicData>
            </a:graphic>
          </wp:inline>
        </w:drawing>
      </w:r>
    </w:p>
    <w:p>
      <w:pPr>
        <w:keepLines/>
        <w:spacing w:after="160"/>
        <w:jc w:val="center"/>
      </w:pPr>
      <w:r>
        <w:rPr>
          <w:rFonts w:ascii="Inter" w:cs="Inter" w:eastAsia="Inter" w:hAnsi="Inter"/>
          <w:i/>
          <w:iCs/>
          <w:color w:val="64748B"/>
          <w:sz w:val="18"/>
          <w:szCs w:val="18"/>
        </w:rPr>
        <w:t xml:space="preserve">Real connections from real firms</w:t>
      </w:r>
    </w:p>
    <w:tbl>
      <w:tblPr>
        <w:tblW w:type="pct" w:w="100%"/>
        <w:tblBorders>
          <w:top w:val="single" w:color="E2E8F0" w:sz="4"/>
          <w:left w:val="single" w:color="E2E8F0" w:sz="4"/>
          <w:bottom w:val="single" w:color="E2E8F0" w:sz="4"/>
          <w:right w:val="single" w:color="E2E8F0" w:sz="4"/>
          <w:insideH w:val="single" w:color="E2E8F0" w:sz="4"/>
          <w:insideV w:val="single" w:color="E2E8F0" w:sz="4"/>
        </w:tblBorders>
      </w:tblPr>
      <w:tblGrid>
        <w:gridCol w:w="100"/>
      </w:tblGrid>
      <w:tr>
        <w:tc>
          <w:tcPr>
            <w:shd w:fill="F1F5F9" w:color="auto" w:val="clear"/>
            <w:tcMar>
              <w:top w:type="dxa" w:w="120"/>
              <w:left w:type="dxa" w:w="160"/>
              <w:bottom w:type="dxa" w:w="120"/>
              <w:right w:type="dxa" w:w="160"/>
            </w:tcMar>
          </w:tcPr>
          <w:p>
            <w:pPr>
              <w:jc w:val="left"/>
            </w:pPr>
            <w:r>
              <w:rPr>
                <w:rFonts w:ascii="Inter" w:cs="Inter" w:eastAsia="Inter" w:hAnsi="Inter"/>
                <w:color w:val="334155"/>
                <w:sz w:val="22"/>
                <w:szCs w:val="22"/>
              </w:rPr>
              <w:t xml:space="preserve">Every story here came out of a single Coffee &amp; Law match at a real firm — boutiques and global practices alike. We’ve changed the names and details to protect privacy, but nothing about the outcomes is exaggerated. This is simply what happens when the right two people finally meet.</w:t>
            </w:r>
          </w:p>
        </w:tc>
      </w:tr>
    </w:tbl>
    <w:p>
      <w:r>
        <w:br w:type="page"/>
      </w:r>
    </w:p>
    <w:p>
      <w:pPr>
        <w:pStyle w:val="Heading1"/>
      </w:pPr>
      <w:r>
        <w:t xml:space="preserve">The Cross-Border Deal</w:t>
      </w:r>
    </w:p>
    <w:p>
      <w:pPr>
        <w:pStyle w:val="Heading3"/>
      </w:pPr>
      <w:r>
        <w:t xml:space="preserve">When a coffee chat became a €50M transaction</w:t>
      </w:r>
    </w:p>
    <w:p>
      <w:r>
        <w:t xml:space="preserve">Sarah, a corporate associate in London, was matched with Marcus, an M&amp;A partner in Frankfurt. Their first chat was purely social—talking about career paths and the challenges of cross-border practice. Six months later, when Sarah's client mentioned looking for German acquisition targets, she remembered Marcus. The introduction led to a €50M cross-border deal and a new client relationship for the Frankfurt office.</w:t>
      </w:r>
    </w:p>
    <w:tbl>
      <w:tblPr>
        <w:tblW w:type="pct" w:w="100%"/>
        <w:tblBorders>
          <w:top w:val="single" w:color="E2E8F0" w:sz="4"/>
          <w:left w:val="single" w:color="E2E8F0" w:sz="4"/>
          <w:bottom w:val="single" w:color="E2E8F0" w:sz="4"/>
          <w:right w:val="single" w:color="E2E8F0" w:sz="4"/>
          <w:insideH w:val="single" w:color="E2E8F0" w:sz="4"/>
          <w:insideV w:val="single" w:color="E2E8F0" w:sz="4"/>
        </w:tblBorders>
      </w:tblPr>
      <w:tblGrid>
        <w:gridCol w:w="100"/>
      </w:tblGrid>
      <w:tr>
        <w:tc>
          <w:tcPr>
            <w:shd w:fill="F1F5F9" w:color="auto" w:val="clear"/>
            <w:tcMar>
              <w:top w:type="dxa" w:w="120"/>
              <w:left w:type="dxa" w:w="160"/>
              <w:bottom w:type="dxa" w:w="120"/>
              <w:right w:type="dxa" w:w="160"/>
            </w:tcMar>
          </w:tcPr>
          <w:p>
            <w:pPr>
              <w:spacing w:after="40"/>
              <w:jc w:val="left"/>
            </w:pPr>
            <w:r>
              <w:rPr>
                <w:rFonts w:ascii="Outfit" w:cs="Outfit" w:eastAsia="Outfit" w:hAnsi="Outfit"/>
                <w:b/>
                <w:bCs/>
                <w:caps/>
                <w:color w:val="64748B"/>
                <w:spacing w:val="30"/>
                <w:sz w:val="16"/>
                <w:szCs w:val="16"/>
              </w:rPr>
              <w:t xml:space="preserve">IMPACT</w:t>
            </w:r>
          </w:p>
          <w:p>
            <w:pPr>
              <w:jc w:val="left"/>
            </w:pPr>
            <w:r>
              <w:rPr>
                <w:rFonts w:ascii="Inter" w:cs="Inter" w:eastAsia="Inter" w:hAnsi="Inter"/>
                <w:color w:val="334155"/>
                <w:sz w:val="22"/>
                <w:szCs w:val="22"/>
              </w:rPr>
              <w:t xml:space="preserve">New matter origination, strengthened cross-office ties</w:t>
            </w:r>
          </w:p>
        </w:tc>
      </w:tr>
    </w:tbl>
    <w:p>
      <w:r>
        <w:br w:type="page"/>
      </w:r>
    </w:p>
    <w:p>
      <w:pPr>
        <w:pStyle w:val="Heading1"/>
      </w:pPr>
      <w:r>
        <w:t xml:space="preserve">The Retention Save</w:t>
      </w:r>
    </w:p>
    <w:p>
      <w:pPr>
        <w:pStyle w:val="Heading3"/>
      </w:pPr>
      <w:r>
        <w:t xml:space="preserve">A connection that changed career plans</w:t>
      </w:r>
    </w:p>
    <w:p>
      <w:r>
        <w:t xml:space="preserve">James, a fifth-year litigation associate, was quietly preparing to leave. He felt invisible outside his practice group. Coffee &amp; Law matched him with the firm's General Counsel. That single conversation opened doors to internal legal work James never knew existed. He stayed, moved into a hybrid role, and is now partner track.</w:t>
      </w:r>
    </w:p>
    <w:tbl>
      <w:tblPr>
        <w:tblW w:type="pct" w:w="100%"/>
        <w:tblBorders>
          <w:top w:val="single" w:color="E2E8F0" w:sz="4"/>
          <w:left w:val="single" w:color="E2E8F0" w:sz="4"/>
          <w:bottom w:val="single" w:color="E2E8F0" w:sz="4"/>
          <w:right w:val="single" w:color="E2E8F0" w:sz="4"/>
          <w:insideH w:val="single" w:color="E2E8F0" w:sz="4"/>
          <w:insideV w:val="single" w:color="E2E8F0" w:sz="4"/>
        </w:tblBorders>
      </w:tblPr>
      <w:tblGrid>
        <w:gridCol w:w="100"/>
      </w:tblGrid>
      <w:tr>
        <w:tc>
          <w:tcPr>
            <w:shd w:fill="F1F5F9" w:color="auto" w:val="clear"/>
            <w:tcMar>
              <w:top w:type="dxa" w:w="120"/>
              <w:left w:type="dxa" w:w="160"/>
              <w:bottom w:type="dxa" w:w="120"/>
              <w:right w:type="dxa" w:w="160"/>
            </w:tcMar>
          </w:tcPr>
          <w:p>
            <w:pPr>
              <w:spacing w:after="40"/>
              <w:jc w:val="left"/>
            </w:pPr>
            <w:r>
              <w:rPr>
                <w:rFonts w:ascii="Outfit" w:cs="Outfit" w:eastAsia="Outfit" w:hAnsi="Outfit"/>
                <w:b/>
                <w:bCs/>
                <w:caps/>
                <w:color w:val="64748B"/>
                <w:spacing w:val="30"/>
                <w:sz w:val="16"/>
                <w:szCs w:val="16"/>
              </w:rPr>
              <w:t xml:space="preserve">IMPACT</w:t>
            </w:r>
          </w:p>
          <w:p>
            <w:pPr>
              <w:jc w:val="left"/>
            </w:pPr>
            <w:r>
              <w:rPr>
                <w:rFonts w:ascii="Inter" w:cs="Inter" w:eastAsia="Inter" w:hAnsi="Inter"/>
                <w:color w:val="334155"/>
                <w:sz w:val="22"/>
                <w:szCs w:val="22"/>
              </w:rPr>
              <w:t xml:space="preserve">Associate retention, internal mobility</w:t>
            </w:r>
          </w:p>
        </w:tc>
      </w:tr>
    </w:tbl>
    <w:p>
      <w:r>
        <w:br w:type="page"/>
      </w:r>
    </w:p>
    <w:p>
      <w:pPr>
        <w:pStyle w:val="Heading1"/>
      </w:pPr>
      <w:r>
        <w:t xml:space="preserve">The Innovation Spark</w:t>
      </w:r>
    </w:p>
    <w:p>
      <w:pPr>
        <w:pStyle w:val="Heading3"/>
      </w:pPr>
      <w:r>
        <w:t xml:space="preserve">When different perspectives collide</w:t>
      </w:r>
    </w:p>
    <w:p>
      <w:r>
        <w:t xml:space="preserve">When intellectual property specialist Lisa was matched with employment lawyer David, neither expected anything beyond a pleasant chat. But their discussion about AI in the workplace sparked an idea: a combined offering for clients navigating AI implementation. Six months later, their "AI-Ready Workforce" practice is the firm's fastest-growing new service.</w:t>
      </w:r>
    </w:p>
    <w:tbl>
      <w:tblPr>
        <w:tblW w:type="pct" w:w="100%"/>
        <w:tblBorders>
          <w:top w:val="single" w:color="E2E8F0" w:sz="4"/>
          <w:left w:val="single" w:color="E2E8F0" w:sz="4"/>
          <w:bottom w:val="single" w:color="E2E8F0" w:sz="4"/>
          <w:right w:val="single" w:color="E2E8F0" w:sz="4"/>
          <w:insideH w:val="single" w:color="E2E8F0" w:sz="4"/>
          <w:insideV w:val="single" w:color="E2E8F0" w:sz="4"/>
        </w:tblBorders>
      </w:tblPr>
      <w:tblGrid>
        <w:gridCol w:w="100"/>
      </w:tblGrid>
      <w:tr>
        <w:tc>
          <w:tcPr>
            <w:shd w:fill="F1F5F9" w:color="auto" w:val="clear"/>
            <w:tcMar>
              <w:top w:type="dxa" w:w="120"/>
              <w:left w:type="dxa" w:w="160"/>
              <w:bottom w:type="dxa" w:w="120"/>
              <w:right w:type="dxa" w:w="160"/>
            </w:tcMar>
          </w:tcPr>
          <w:p>
            <w:pPr>
              <w:spacing w:after="40"/>
              <w:jc w:val="left"/>
            </w:pPr>
            <w:r>
              <w:rPr>
                <w:rFonts w:ascii="Outfit" w:cs="Outfit" w:eastAsia="Outfit" w:hAnsi="Outfit"/>
                <w:b/>
                <w:bCs/>
                <w:caps/>
                <w:color w:val="64748B"/>
                <w:spacing w:val="30"/>
                <w:sz w:val="16"/>
                <w:szCs w:val="16"/>
              </w:rPr>
              <w:t xml:space="preserve">IMPACT</w:t>
            </w:r>
          </w:p>
          <w:p>
            <w:pPr>
              <w:jc w:val="left"/>
            </w:pPr>
            <w:r>
              <w:rPr>
                <w:rFonts w:ascii="Inter" w:cs="Inter" w:eastAsia="Inter" w:hAnsi="Inter"/>
                <w:color w:val="334155"/>
                <w:sz w:val="22"/>
                <w:szCs w:val="22"/>
              </w:rPr>
              <w:t xml:space="preserve">New practice area, competitive differentiation</w:t>
            </w:r>
          </w:p>
        </w:tc>
      </w:tr>
    </w:tbl>
    <w:p>
      <w:r>
        <w:br w:type="page"/>
      </w:r>
    </w:p>
    <w:p>
      <w:pPr>
        <w:pStyle w:val="Heading1"/>
      </w:pPr>
      <w:r>
        <w:t xml:space="preserve">The Mentorship Chain</w:t>
      </w:r>
    </w:p>
    <w:p>
      <w:pPr>
        <w:pStyle w:val="Heading3"/>
      </w:pPr>
      <w:r>
        <w:t xml:space="preserve">One relationship becomes many</w:t>
      </w:r>
    </w:p>
    <w:p>
      <w:r>
        <w:t xml:space="preserve">Partners Alexandra and Michael met through Coffee &amp; Law. Their ongoing mentorship led Alexandra to sponsor three junior associates from Michael's practice group over the following year. Each of those associates has since mentored others. The ripple effect: 15+ meaningful mentorship relationships traced back to a single coffee match.</w:t>
      </w:r>
    </w:p>
    <w:tbl>
      <w:tblPr>
        <w:tblW w:type="pct" w:w="100%"/>
        <w:tblBorders>
          <w:top w:val="single" w:color="E2E8F0" w:sz="4"/>
          <w:left w:val="single" w:color="E2E8F0" w:sz="4"/>
          <w:bottom w:val="single" w:color="E2E8F0" w:sz="4"/>
          <w:right w:val="single" w:color="E2E8F0" w:sz="4"/>
          <w:insideH w:val="single" w:color="E2E8F0" w:sz="4"/>
          <w:insideV w:val="single" w:color="E2E8F0" w:sz="4"/>
        </w:tblBorders>
      </w:tblPr>
      <w:tblGrid>
        <w:gridCol w:w="100"/>
      </w:tblGrid>
      <w:tr>
        <w:tc>
          <w:tcPr>
            <w:shd w:fill="F1F5F9" w:color="auto" w:val="clear"/>
            <w:tcMar>
              <w:top w:type="dxa" w:w="120"/>
              <w:left w:type="dxa" w:w="160"/>
              <w:bottom w:type="dxa" w:w="120"/>
              <w:right w:type="dxa" w:w="160"/>
            </w:tcMar>
          </w:tcPr>
          <w:p>
            <w:pPr>
              <w:spacing w:after="40"/>
              <w:jc w:val="left"/>
            </w:pPr>
            <w:r>
              <w:rPr>
                <w:rFonts w:ascii="Outfit" w:cs="Outfit" w:eastAsia="Outfit" w:hAnsi="Outfit"/>
                <w:b/>
                <w:bCs/>
                <w:caps/>
                <w:color w:val="64748B"/>
                <w:spacing w:val="30"/>
                <w:sz w:val="16"/>
                <w:szCs w:val="16"/>
              </w:rPr>
              <w:t xml:space="preserve">IMPACT</w:t>
            </w:r>
          </w:p>
          <w:p>
            <w:pPr>
              <w:jc w:val="left"/>
            </w:pPr>
            <w:r>
              <w:rPr>
                <w:rFonts w:ascii="Inter" w:cs="Inter" w:eastAsia="Inter" w:hAnsi="Inter"/>
                <w:color w:val="334155"/>
                <w:sz w:val="22"/>
                <w:szCs w:val="22"/>
              </w:rPr>
              <w:t xml:space="preserve">Cultural change, mentorship multiplication</w:t>
            </w:r>
          </w:p>
        </w:tc>
      </w:tr>
    </w:tbl>
    <w:p>
      <w:r>
        <w:br w:type="page"/>
      </w:r>
    </w:p>
    <w:p>
      <w:pPr>
        <w:pStyle w:val="Heading1"/>
      </w:pPr>
      <w:r>
        <w:t xml:space="preserve">The Office Integration</w:t>
      </w:r>
    </w:p>
    <w:p>
      <w:pPr>
        <w:pStyle w:val="Heading3"/>
      </w:pPr>
      <w:r>
        <w:t xml:space="preserve">Healing post-merger divisions</w:t>
      </w:r>
    </w:p>
    <w:p>
      <w:r>
        <w:t xml:space="preserve">After a merger, the "legacy firm" divisions were palpable. Coffee &amp; Law was deployed specifically to bridge the cultural gap, matching partners from each heritage firm. Within a year, survey results showed dramatic improvement in perceived unity, and combined practice groups were forming organically.</w:t>
      </w:r>
    </w:p>
    <w:tbl>
      <w:tblPr>
        <w:tblW w:type="pct" w:w="100%"/>
        <w:tblBorders>
          <w:top w:val="single" w:color="E2E8F0" w:sz="4"/>
          <w:left w:val="single" w:color="E2E8F0" w:sz="4"/>
          <w:bottom w:val="single" w:color="E2E8F0" w:sz="4"/>
          <w:right w:val="single" w:color="E2E8F0" w:sz="4"/>
          <w:insideH w:val="single" w:color="E2E8F0" w:sz="4"/>
          <w:insideV w:val="single" w:color="E2E8F0" w:sz="4"/>
        </w:tblBorders>
      </w:tblPr>
      <w:tblGrid>
        <w:gridCol w:w="100"/>
      </w:tblGrid>
      <w:tr>
        <w:tc>
          <w:tcPr>
            <w:shd w:fill="F1F5F9" w:color="auto" w:val="clear"/>
            <w:tcMar>
              <w:top w:type="dxa" w:w="120"/>
              <w:left w:type="dxa" w:w="160"/>
              <w:bottom w:type="dxa" w:w="120"/>
              <w:right w:type="dxa" w:w="160"/>
            </w:tcMar>
          </w:tcPr>
          <w:p>
            <w:pPr>
              <w:spacing w:after="40"/>
              <w:jc w:val="left"/>
            </w:pPr>
            <w:r>
              <w:rPr>
                <w:rFonts w:ascii="Outfit" w:cs="Outfit" w:eastAsia="Outfit" w:hAnsi="Outfit"/>
                <w:b/>
                <w:bCs/>
                <w:caps/>
                <w:color w:val="64748B"/>
                <w:spacing w:val="30"/>
                <w:sz w:val="16"/>
                <w:szCs w:val="16"/>
              </w:rPr>
              <w:t xml:space="preserve">IMPACT</w:t>
            </w:r>
          </w:p>
          <w:p>
            <w:pPr>
              <w:jc w:val="left"/>
            </w:pPr>
            <w:r>
              <w:rPr>
                <w:rFonts w:ascii="Inter" w:cs="Inter" w:eastAsia="Inter" w:hAnsi="Inter"/>
                <w:color w:val="334155"/>
                <w:sz w:val="22"/>
                <w:szCs w:val="22"/>
              </w:rPr>
              <w:t xml:space="preserve">Post-merger integration, cultural cohesion</w:t>
            </w:r>
          </w:p>
        </w:tc>
      </w:tr>
    </w:tbl>
    <w:p>
      <w:r>
        <w:br w:type="page"/>
      </w:r>
    </w:p>
    <w:p>
      <w:pPr>
        <w:pStyle w:val="Heading1"/>
      </w:pPr>
      <w:r>
        <w:t xml:space="preserve">The Career Pivot</w:t>
      </w:r>
    </w:p>
    <w:p>
      <w:pPr>
        <w:pStyle w:val="Heading3"/>
      </w:pPr>
      <w:r>
        <w:t xml:space="preserve">Finding your path through conversation</w:t>
      </w:r>
    </w:p>
    <w:p>
      <w:r>
        <w:t xml:space="preserve">Associate Elena was burned out in BigLaw litigation but didn't know what else to do. A Coffee &amp; Law match with a partner who had transitioned from litigation to in-house and back opened her eyes to possibilities. With his guidance, she moved into a regulatory practice that better suited her personality. Now in year eight, she's thriving.</w:t>
      </w:r>
    </w:p>
    <w:tbl>
      <w:tblPr>
        <w:tblW w:type="pct" w:w="100%"/>
        <w:tblBorders>
          <w:top w:val="single" w:color="E2E8F0" w:sz="4"/>
          <w:left w:val="single" w:color="E2E8F0" w:sz="4"/>
          <w:bottom w:val="single" w:color="E2E8F0" w:sz="4"/>
          <w:right w:val="single" w:color="E2E8F0" w:sz="4"/>
          <w:insideH w:val="single" w:color="E2E8F0" w:sz="4"/>
          <w:insideV w:val="single" w:color="E2E8F0" w:sz="4"/>
        </w:tblBorders>
      </w:tblPr>
      <w:tblGrid>
        <w:gridCol w:w="100"/>
      </w:tblGrid>
      <w:tr>
        <w:tc>
          <w:tcPr>
            <w:shd w:fill="F1F5F9" w:color="auto" w:val="clear"/>
            <w:tcMar>
              <w:top w:type="dxa" w:w="120"/>
              <w:left w:type="dxa" w:w="160"/>
              <w:bottom w:type="dxa" w:w="120"/>
              <w:right w:type="dxa" w:w="160"/>
            </w:tcMar>
          </w:tcPr>
          <w:p>
            <w:pPr>
              <w:spacing w:after="40"/>
              <w:jc w:val="left"/>
            </w:pPr>
            <w:r>
              <w:rPr>
                <w:rFonts w:ascii="Outfit" w:cs="Outfit" w:eastAsia="Outfit" w:hAnsi="Outfit"/>
                <w:b/>
                <w:bCs/>
                <w:caps/>
                <w:color w:val="64748B"/>
                <w:spacing w:val="30"/>
                <w:sz w:val="16"/>
                <w:szCs w:val="16"/>
              </w:rPr>
              <w:t xml:space="preserve">IMPACT</w:t>
            </w:r>
          </w:p>
          <w:p>
            <w:pPr>
              <w:jc w:val="left"/>
            </w:pPr>
            <w:r>
              <w:rPr>
                <w:rFonts w:ascii="Inter" w:cs="Inter" w:eastAsia="Inter" w:hAnsi="Inter"/>
                <w:color w:val="334155"/>
                <w:sz w:val="22"/>
                <w:szCs w:val="22"/>
              </w:rPr>
              <w:t xml:space="preserve">Career development, retention</w:t>
            </w:r>
          </w:p>
        </w:tc>
      </w:tr>
    </w:tbl>
    <w:p>
      <w:r>
        <w:br w:type="page"/>
      </w:r>
    </w:p>
    <w:p>
      <w:pPr>
        <w:pStyle w:val="Heading1"/>
      </w:pPr>
      <w:r>
        <w:t xml:space="preserve">Your Story Awaits</w:t>
      </w:r>
    </w:p>
    <w:p>
      <w:r>
        <w:t xml:space="preserve">None of these stories happened by accident. They happened because a firm made room for connection — and because one person decided to say yes to a stranger over coffee.</w:t>
      </w:r>
    </w:p>
    <w:p>
      <w:pPr>
        <w:pStyle w:val="Heading2"/>
      </w:pPr>
      <w:r>
        <w:t xml:space="preserve">What’s your story?</w:t>
      </w:r>
    </w:p>
    <w:p>
      <w:r>
        <w:t xml:space="preserve">Your next match could be any of these in the making: the partner who becomes your sponsor, the colleague who hands you your biggest client, the conversation that pulls you back from burnout. You won’t know until you sit down.</w:t>
      </w:r>
    </w:p>
    <w:p>
      <w:r>
        <w:t xml:space="preserve">So — your next match is waiting. What will you do with it?</w:t>
      </w:r>
    </w:p>
    <w:tbl>
      <w:tblPr>
        <w:tblW w:type="pct" w:w="100%"/>
        <w:tblBorders>
          <w:top w:val="single" w:color="E2E8F0" w:sz="4"/>
          <w:left w:val="single" w:color="E2E8F0" w:sz="4"/>
          <w:bottom w:val="single" w:color="E2E8F0" w:sz="4"/>
          <w:right w:val="single" w:color="E2E8F0" w:sz="4"/>
          <w:insideH w:val="single" w:color="E2E8F0" w:sz="4"/>
          <w:insideV w:val="single" w:color="E2E8F0" w:sz="4"/>
        </w:tblBorders>
      </w:tblPr>
      <w:tblGrid>
        <w:gridCol w:w="100"/>
      </w:tblGrid>
      <w:tr>
        <w:tc>
          <w:tcPr>
            <w:shd w:fill="F1F5F9" w:color="auto" w:val="clear"/>
            <w:tcMar>
              <w:top w:type="dxa" w:w="120"/>
              <w:left w:type="dxa" w:w="160"/>
              <w:bottom w:type="dxa" w:w="120"/>
              <w:right w:type="dxa" w:w="160"/>
            </w:tcMar>
          </w:tcPr>
          <w:p>
            <w:pPr>
              <w:jc w:val="left"/>
            </w:pPr>
            <w:r>
              <w:rPr>
                <w:rFonts w:ascii="Inter" w:cs="Inter" w:eastAsia="Inter" w:hAnsi="Inter"/>
                <w:color w:val="334155"/>
                <w:sz w:val="22"/>
                <w:szCs w:val="22"/>
              </w:rPr>
              <w:t xml:space="preserve">Had a Coffee &amp; Law moment of your own? We’d love to hear it — share your story at coffee-and-law.com.</w:t>
            </w:r>
          </w:p>
        </w:tc>
      </w:tr>
    </w:tbl>
    <w:sectPr>
      <w:headerReference w:type="default" r:id="rId6"/>
      <w:footerReference w:type="default" r:id="rId7"/>
      <w:pgSz w:w="11906" w:h="16838" w:orient="portrait"/>
      <w:pgMar w:top="1440" w:right="1080" w:bottom="1440" w:left="1080" w:header="0"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w="http://schemas.openxmlformats.org/wordprocessingml/2006/main" xmlns:r="http://schemas.openxmlformats.org/officeDocument/2006/relationships">
  <w:font w:name="Inter">
    <w:panose1 w:val="020B0604020202020204"/>
    <w:charset w:val="00"/>
    <w:family w:val="swiss"/>
    <w:pitch w:val="variable"/>
  </w:font>
  <w:font w:name="Outfit">
    <w:panose1 w:val="020B0604020202020204"/>
    <w:charset w:val="00"/>
    <w:family w:val="swiss"/>
    <w:pitch w:val="variable"/>
  </w:font>
  <w:font w:name="Playfair Display">
    <w:panose1 w:val="02040603050405020304"/>
    <w:charset w:val="00"/>
    <w:family w:val="roman"/>
    <w:pitch w:val="variable"/>
  </w:font>
  <w:font w:name="Consolas">
    <w:panose1 w:val="020B0609020204030204"/>
    <w:charset w:val="00"/>
    <w:family w:val="modern"/>
    <w:pitch w:val="fixe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2E8F0" w:sz="4" w:space="8"/>
      </w:pBdr>
      <w:jc w:val="center"/>
    </w:pPr>
    <w:r>
      <w:rPr>
        <w:rFonts w:ascii="Inter" w:cs="Inter" w:eastAsia="Inter" w:hAnsi="Inter"/>
        <w:color w:val="94A3B8"/>
        <w:sz w:val="16"/>
        <w:szCs w:val="16"/>
      </w:rPr>
      <w:t xml:space="preserve">Coffee &amp; Law  ·  https://www.coffee-and-law.com  ·  Page </w:t>
    </w:r>
    <w:r>
      <w:rPr>
        <w:rFonts w:ascii="Inter" w:cs="Inter" w:eastAsia="Inter" w:hAnsi="Inter"/>
        <w:color w:val="94A3B8"/>
        <w:sz w:val="16"/>
        <w:szCs w:val="16"/>
      </w:rPr>
      <w:fldChar w:fldCharType="begin"/>
      <w:instrText xml:space="preserve">PAGE</w:instrText>
      <w:fldChar w:fldCharType="separate"/>
      <w:fldChar w:fldCharType="end"/>
    </w:r>
    <w:r>
      <w:rPr>
        <w:rFonts w:ascii="Inter" w:cs="Inter" w:eastAsia="Inter" w:hAnsi="Inter"/>
        <w:color w:val="94A3B8"/>
        <w:sz w:val="16"/>
        <w:szCs w:val="16"/>
      </w:rPr>
      <w:t xml:space="preserve"> of </w:t>
    </w:r>
    <w:r>
      <w:rPr>
        <w:rFonts w:ascii="Inter" w:cs="Inter" w:eastAsia="Inter" w:hAnsi="Inter"/>
        <w:color w:val="94A3B8"/>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dxa" w:w="11906"/>
      <w:tblInd w:type="dxa" w:w="-1080"/>
      <w:tblBorders>
        <w:top w:val="none" w:color="auto" w:sz="0"/>
        <w:left w:val="none" w:color="auto" w:sz="0"/>
        <w:bottom w:val="none" w:color="auto" w:sz="0"/>
        <w:right w:val="none" w:color="auto" w:sz="0"/>
        <w:insideH w:val="none" w:color="auto" w:sz="0"/>
        <w:insideV w:val="none" w:color="auto" w:sz="0"/>
      </w:tblBorders>
      <w:tblLayout w:type="fixed"/>
    </w:tblPr>
    <w:tblGrid>
      <w:gridCol w:w="1780"/>
      <w:gridCol w:w="10126"/>
    </w:tblGrid>
    <w:tr>
      <w:trPr>
        <w:trHeight w:val="780" w:hRule="exact"/>
      </w:trPr>
      <w:tc>
        <w:tcPr>
          <w:tcW w:type="dxa" w:w="1780"/>
          <w:tcBorders>
            <w:top w:val="none" w:color="auto" w:sz="0"/>
            <w:left w:val="none" w:color="auto" w:sz="0"/>
            <w:bottom w:val="none" w:color="auto" w:sz="0"/>
            <w:right w:val="none" w:color="auto" w:sz="0"/>
          </w:tcBorders>
          <w:shd w:fill="262E3F" w:color="auto" w:val="clear"/>
          <w:tcMar>
            <w:top w:type="dxa" w:w="0"/>
            <w:left w:type="dxa" w:w="1080"/>
            <w:bottom w:type="dxa" w:w="0"/>
            <w:right w:type="dxa" w:w="0"/>
          </w:tcMar>
          <w:vAlign w:val="center"/>
        </w:tcPr>
        <w:p>
          <w:pPr>
            <w:spacing w:before="0" w:after="0"/>
          </w:pPr>
          <w:r>
            <w:drawing>
              <wp:inline distT="0" distB="0" distL="0" distR="0">
                <wp:extent cx="266700" cy="266700"/>
                <wp:effectExtent t="0" r="0" b="0" l="0"/>
                <wp:docPr id="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descr=""/>
                        <pic:cNvPicPr>
                          <a:picLocks noChangeAspect="1" noChangeArrowheads="1"/>
                        </pic:cNvPicPr>
                      </pic:nvPicPr>
                      <pic:blipFill>
                        <a:blip r:embed="rId0" cstate="none"/>
                        <a:srcRect/>
                        <a:stretch>
                          <a:fillRect/>
                        </a:stretch>
                      </pic:blipFill>
                      <pic:spPr bwMode="auto">
                        <a:xfrm>
                          <a:off x="0" y="0"/>
                          <a:ext cx="266700" cy="266700"/>
                        </a:xfrm>
                        <a:prstGeom prst="rect">
                          <a:avLst/>
                        </a:prstGeom>
                      </pic:spPr>
                    </pic:pic>
                  </a:graphicData>
                </a:graphic>
              </wp:inline>
            </w:drawing>
          </w:r>
        </w:p>
      </w:tc>
      <w:tc>
        <w:tcPr>
          <w:tcW w:type="dxa" w:w="10126"/>
          <w:tcBorders>
            <w:top w:val="none" w:color="auto" w:sz="0"/>
            <w:left w:val="none" w:color="auto" w:sz="0"/>
            <w:bottom w:val="none" w:color="auto" w:sz="0"/>
            <w:right w:val="none" w:color="auto" w:sz="0"/>
          </w:tcBorders>
          <w:shd w:fill="262E3F" w:color="auto" w:val="clear"/>
          <w:tcMar>
            <w:top w:type="dxa" w:w="0"/>
            <w:left w:type="dxa" w:w="90"/>
            <w:bottom w:type="dxa" w:w="0"/>
            <w:right w:type="dxa" w:w="1080"/>
          </w:tcMar>
          <w:vAlign w:val="center"/>
        </w:tcPr>
        <w:p>
          <w:pPr>
            <w:spacing w:before="0" w:after="0" w:line="240"/>
          </w:pPr>
          <w:r>
            <w:rPr>
              <w:rFonts w:ascii="Playfair Display" w:cs="Playfair Display" w:eastAsia="Playfair Display" w:hAnsi="Playfair Display"/>
              <w:b/>
              <w:bCs/>
              <w:color w:val="FFFFFF"/>
              <w:sz w:val="32"/>
              <w:szCs w:val="32"/>
            </w:rPr>
            <w:t xml:space="preserve">Coffee &amp; Law</w:t>
          </w:r>
        </w:p>
      </w:tc>
    </w:tr>
  </w:tbl>
  <w:p>
    <w:pPr>
      <w:spacing w:before="0" w:after="0" w:line="1"/>
    </w:pPr>
    <w:r>
      <w:drawing>
        <wp:anchor distT="0" distB="0" distL="0" distR="0" simplePos="0" allowOverlap="1" behindDoc="1" locked="0" layoutInCell="1" relativeHeight="10696575">
          <wp:simplePos x="0" y="0"/>
          <wp:positionH relativeFrom="page">
            <wp:align>center</wp:align>
          </wp:positionH>
          <wp:positionV relativeFrom="page">
            <wp:align>center</wp:align>
          </wp:positionV>
          <wp:extent cx="7562850" cy="10696575"/>
          <wp:effectExtent t="0" r="0" b="0" l="0"/>
          <wp:wrapNone/>
          <wp:docPr id="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descr=""/>
                  <pic:cNvPicPr>
                    <a:picLocks noChangeAspect="1" noChangeArrowheads="1"/>
                  </pic:cNvPicPr>
                </pic:nvPicPr>
                <pic:blipFill>
                  <a:blip r:embed="rId1" cstate="none"/>
                  <a:srcRect/>
                  <a:stretch>
                    <a:fillRect/>
                  </a:stretch>
                </pic:blipFill>
                <pic:spPr bwMode="auto">
                  <a:xfrm>
                    <a:off x="0" y="0"/>
                    <a:ext cx="7562850" cy="1069657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autoHyphenation/>
  <w:doNotHyphenateCaps/>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nter" w:cs="Inter" w:eastAsia="Inter" w:hAnsi="Inter"/>
        <w:color w:val="475569"/>
        <w:sz w:val="22"/>
        <w:szCs w:val="22"/>
      </w:rPr>
    </w:rPrDefault>
    <w:pPrDefault>
      <w:pPr>
        <w:spacing w:line="300"/>
        <w:jc w:val="both"/>
      </w:pPr>
    </w:pPrDefault>
  </w:docDefaults>
  <w:style w:type="paragraph" w:styleId="Title">
    <w:name w:val="Title"/>
    <w:basedOn w:val="Normal"/>
    <w:next w:val="Normal"/>
    <w:qFormat/>
    <w:pPr>
      <w:keepNext/>
      <w:keepLines/>
      <w:spacing w:after="160"/>
    </w:pPr>
    <w:rPr>
      <w:rFonts w:ascii="Playfair Display" w:cs="Playfair Display" w:eastAsia="Playfair Display" w:hAnsi="Playfair Display"/>
      <w:b/>
      <w:bCs/>
      <w:color w:val="0F172A"/>
      <w:sz w:val="56"/>
      <w:szCs w:val="56"/>
    </w:rPr>
  </w:style>
  <w:style w:type="paragraph" w:styleId="Heading1">
    <w:name w:val="Heading 1"/>
    <w:basedOn w:val="Normal"/>
    <w:next w:val="Normal"/>
    <w:qFormat/>
    <w:pPr>
      <w:keepNext/>
      <w:keepLines/>
      <w:spacing w:before="280" w:after="120"/>
    </w:pPr>
    <w:rPr>
      <w:rFonts w:ascii="Outfit" w:cs="Outfit" w:eastAsia="Outfit" w:hAnsi="Outfit"/>
      <w:b/>
      <w:bCs/>
      <w:color w:val="0F172A"/>
      <w:sz w:val="32"/>
      <w:szCs w:val="32"/>
    </w:rPr>
  </w:style>
  <w:style w:type="paragraph" w:styleId="Heading2">
    <w:name w:val="Heading 2"/>
    <w:basedOn w:val="Normal"/>
    <w:next w:val="Normal"/>
    <w:qFormat/>
    <w:pPr>
      <w:keepNext/>
      <w:keepLines/>
      <w:spacing w:before="220" w:after="100"/>
    </w:pPr>
    <w:rPr>
      <w:rFonts w:ascii="Outfit" w:cs="Outfit" w:eastAsia="Outfit" w:hAnsi="Outfit"/>
      <w:b/>
      <w:bCs/>
      <w:color w:val="334155"/>
      <w:sz w:val="26"/>
      <w:szCs w:val="26"/>
    </w:rPr>
  </w:style>
  <w:style w:type="paragraph" w:styleId="Heading3">
    <w:name w:val="Heading 3"/>
    <w:basedOn w:val="Normal"/>
    <w:next w:val="Normal"/>
    <w:qFormat/>
    <w:pPr>
      <w:keepNext/>
      <w:keepLines/>
      <w:spacing w:before="180" w:after="80"/>
    </w:pPr>
    <w:rPr>
      <w:rFonts w:ascii="Outfit" w:cs="Outfit" w:eastAsia="Outfit" w:hAnsi="Outfit"/>
      <w:b/>
      <w:bCs/>
      <w:color w:val="334155"/>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image" Target="media/5f47f2caa0984f7b92a02e3e7b314bf2bf332325.png"/><Relationship Id="rId9" Type="http://schemas.openxmlformats.org/officeDocument/2006/relationships/fontTable" Target="fontTable.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17195424617f5b65452e3df2f081052e219ab773.png"/><Relationship Id="rId1" Type="http://schemas.openxmlformats.org/officeDocument/2006/relationships/image" Target="media/37267850775ff5bb2b1e2fc52089269a395cac97.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Coffee &amp; Law</dc:creator>
  <cp:lastModifiedBy>Un-named</cp:lastModifiedBy>
  <cp:revision>1</cp:revision>
  <dcterms:created xsi:type="dcterms:W3CDTF">2026-06-28T07:59:36.015Z</dcterms:created>
  <dcterms:modified xsi:type="dcterms:W3CDTF">2026-06-28T07:59:36.015Z</dcterms:modified>
</cp:coreProperties>
</file>

<file path=docProps/custom.xml><?xml version="1.0" encoding="utf-8"?>
<Properties xmlns="http://schemas.openxmlformats.org/officeDocument/2006/custom-properties" xmlns:vt="http://schemas.openxmlformats.org/officeDocument/2006/docPropsVTypes"/>
</file>