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before="360" w:after="40"/>
        <w:jc w:val="left"/>
      </w:pPr>
      <w:r>
        <w:rPr>
          <w:rFonts w:ascii="Playfair Display" w:cs="Playfair Display" w:eastAsia="Playfair Display" w:hAnsi="Playfair Display"/>
          <w:b/>
          <w:bCs/>
          <w:color w:val="0F172A"/>
          <w:sz w:val="56"/>
          <w:szCs w:val="56"/>
        </w:rPr>
        <w:t xml:space="preserve">Champions Guide</w:t>
      </w:r>
    </w:p>
    <w:p>
      <w:pPr>
        <w:spacing w:after="300"/>
        <w:jc w:val="left"/>
      </w:pPr>
      <w:r>
        <w:rPr>
          <w:rFonts w:ascii="Inter" w:cs="Inter" w:eastAsia="Inter" w:hAnsi="Inter"/>
          <w:color w:val="475569"/>
          <w:sz w:val="24"/>
          <w:szCs w:val="24"/>
        </w:rPr>
        <w:t xml:space="preserve">You said yes to leading the charge — here’s how to make it count</w:t>
      </w:r>
    </w:p>
    <w:p>
      <w:pPr>
        <w:keepNext/>
        <w:keepLines/>
        <w:spacing w:before="120" w:after="40"/>
        <w:jc w:val="center"/>
      </w:pPr>
      <w:r>
        <w:drawing>
          <wp:inline distT="0" distB="0" distL="0" distR="0">
            <wp:extent cx="2667000" cy="2000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Lines/>
        <w:spacing w:after="160"/>
        <w:jc w:val="center"/>
      </w:pPr>
      <w:r>
        <w:rPr>
          <w:rFonts w:ascii="Inter" w:cs="Inter" w:eastAsia="Inter" w:hAnsi="Inter"/>
          <w:i/>
          <w:iCs/>
          <w:color w:val="64748B"/>
          <w:sz w:val="18"/>
          <w:szCs w:val="18"/>
        </w:rPr>
        <w:t xml:space="preserve">Be the catalyst for connection at your firm</w:t>
      </w:r>
    </w:p>
    <w:p>
      <w:pPr>
        <w:pStyle w:val="Heading1"/>
      </w:pPr>
      <w:r>
        <w:t xml:space="preserve">What a Champion really is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100"/>
      </w:tblGrid>
      <w:tr>
        <w:tc>
          <w:tcPr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Inter" w:cs="Inter" w:eastAsia="Inter" w:hAnsi="Inter"/>
                <w:color w:val="334155"/>
                <w:sz w:val="22"/>
                <w:szCs w:val="22"/>
              </w:rPr>
              <w:t xml:space="preserve">Champions are the heartbeat of a thriving Coffee &amp; Law program. You’re not an administrator — you’re an ambassador. Your job isn’t paperwork; it’s energy: show up to your own matches with enthusiasm, tell the good stories, and gently bring along the colleagues who are on the fence.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Your Role as Champion</w:t>
      </w:r>
    </w:p>
    <w:p>
      <w:pPr>
        <w:pStyle w:val="Heading2"/>
      </w:pPr>
      <w:r>
        <w:t xml:space="preserve">1. Model Behavior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Participate in every roulette with genuine enthusiasm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Schedule your chats promptly (within 48 hours of matching)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Share what you learned from your matches with others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Be visibly active: mention your coffee chats in conversations</w:t>
      </w:r>
    </w:p>
    <w:p>
      <w:pPr>
        <w:pStyle w:val="Heading2"/>
      </w:pPr>
      <w:r>
        <w:t xml:space="preserve">2. Encourage Others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Reach out to hesitant colleagues personally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Address concerns with empathy (time, discomfort, skepticism)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Celebrate others' participation: "I heard you had a great chat with [name]!"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Create social proof by discussing your own positive experiences</w:t>
      </w:r>
    </w:p>
    <w:p>
      <w:pPr>
        <w:pStyle w:val="Heading2"/>
      </w:pPr>
      <w:r>
        <w:t xml:space="preserve">3. Provide Feedback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Report participation challenges to the program admin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Share success stories for firm-wide communication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Suggest improvements based on participant feedback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Flag any technical issues promptly</w:t>
      </w:r>
    </w:p>
    <w:p>
      <w:r>
        <w:br w:type="page"/>
      </w:r>
    </w:p>
    <w:p>
      <w:pPr>
        <w:pStyle w:val="Heading1"/>
      </w:pPr>
      <w:r>
        <w:t xml:space="preserve">Handling Objections</w:t>
      </w:r>
    </w:p>
    <w:p>
      <w:r>
        <w:t xml:space="preserve">Common concerns and how to address them</w:t>
      </w:r>
    </w:p>
    <w:p>
      <w:pPr>
        <w:spacing w:before="200" w:after="60"/>
      </w:pPr>
      <w:r>
        <w:rPr>
          <w:rFonts w:ascii="Outfit" w:cs="Outfit" w:eastAsia="Outfit" w:hAnsi="Outfit"/>
          <w:b/>
          <w:bCs/>
          <w:color w:val="1E293B"/>
          <w:sz w:val="24"/>
          <w:szCs w:val="24"/>
        </w:rPr>
        <w:t xml:space="preserve">"I don't have time for this."</w:t>
      </w:r>
    </w:p>
    <w:p>
      <w:r>
        <w:rPr>
          <w:rFonts w:ascii="Inter" w:cs="Inter" w:eastAsia="Inter" w:hAnsi="Inter"/>
          <w:color w:val="475569"/>
          <w:sz w:val="22"/>
          <w:szCs w:val="22"/>
        </w:rPr>
        <w:t xml:space="preserve">Fifteen to thirty minutes — shorter than the meeting that just ran over. And the relationships you build tend to give that time back later, when collaboration suddenly gets easier.</w:t>
      </w:r>
    </w:p>
    <w:p>
      <w:pPr>
        <w:spacing w:before="200" w:after="60"/>
      </w:pPr>
      <w:r>
        <w:rPr>
          <w:rFonts w:ascii="Outfit" w:cs="Outfit" w:eastAsia="Outfit" w:hAnsi="Outfit"/>
          <w:b/>
          <w:bCs/>
          <w:color w:val="1E293B"/>
          <w:sz w:val="24"/>
          <w:szCs w:val="24"/>
        </w:rPr>
        <w:t xml:space="preserve">"I already know people here."</w:t>
      </w:r>
    </w:p>
    <w:p>
      <w:r>
        <w:rPr>
          <w:rFonts w:ascii="Inter" w:cs="Inter" w:eastAsia="Inter" w:hAnsi="Inter"/>
          <w:color w:val="475569"/>
          <w:sz w:val="22"/>
          <w:szCs w:val="22"/>
        </w:rPr>
        <w:t xml:space="preserve">Brilliant — but do you know the lawyers in [other practice group]? The people who get the most out of this firm have networks that reach into every corner of it.</w:t>
      </w:r>
    </w:p>
    <w:p>
      <w:pPr>
        <w:spacing w:before="200" w:after="60"/>
      </w:pPr>
      <w:r>
        <w:rPr>
          <w:rFonts w:ascii="Outfit" w:cs="Outfit" w:eastAsia="Outfit" w:hAnsi="Outfit"/>
          <w:b/>
          <w:bCs/>
          <w:color w:val="1E293B"/>
          <w:sz w:val="24"/>
          <w:szCs w:val="24"/>
        </w:rPr>
        <w:t xml:space="preserve">"I'm not good at small talk."</w:t>
      </w:r>
    </w:p>
    <w:p>
      <w:r>
        <w:rPr>
          <w:rFonts w:ascii="Inter" w:cs="Inter" w:eastAsia="Inter" w:hAnsi="Inter"/>
          <w:color w:val="475569"/>
          <w:sz w:val="22"/>
          <w:szCs w:val="22"/>
        </w:rPr>
        <w:t xml:space="preserve">Honestly? Neither are most of us — we went to law school, not charm school. That’s the point of Coffee &amp; Law: it hands you a reason to connect, and "tell me about your work" is always a fair opener.</w:t>
      </w:r>
    </w:p>
    <w:p>
      <w:pPr>
        <w:spacing w:before="200" w:after="60"/>
      </w:pPr>
      <w:r>
        <w:rPr>
          <w:rFonts w:ascii="Outfit" w:cs="Outfit" w:eastAsia="Outfit" w:hAnsi="Outfit"/>
          <w:b/>
          <w:bCs/>
          <w:color w:val="1E293B"/>
          <w:sz w:val="24"/>
          <w:szCs w:val="24"/>
        </w:rPr>
        <w:t xml:space="preserve">"It feels forced."</w:t>
      </w:r>
    </w:p>
    <w:p>
      <w:r>
        <w:rPr>
          <w:rFonts w:ascii="Inter" w:cs="Inter" w:eastAsia="Inter" w:hAnsi="Inter"/>
          <w:color w:val="475569"/>
          <w:sz w:val="22"/>
          <w:szCs w:val="22"/>
        </w:rPr>
        <w:t xml:space="preserve">Every introduction is a little engineered — that’s not a flaw, it’s the feature. The difference here is the match is chosen so it’s actually worth your time.</w:t>
      </w:r>
    </w:p>
    <w:p>
      <w:r>
        <w:br w:type="page"/>
      </w:r>
    </w:p>
    <w:p>
      <w:pPr>
        <w:pStyle w:val="Heading1"/>
      </w:pPr>
      <w:r>
        <w:t xml:space="preserve">Resources &amp; Tips</w:t>
      </w:r>
    </w:p>
    <w:p>
      <w:pPr>
        <w:pStyle w:val="Heading2"/>
      </w:pPr>
      <w:r>
        <w:t xml:space="preserve">Weekly Champion Checklist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Complete your own coffee chat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Send a message to one hesitant colleague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Share one success story (even informally)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Report any issues to the program admin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100"/>
      </w:tblGrid>
      <w:tr>
        <w:tc>
          <w:tcPr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  <w:jc w:val="left"/>
            </w:pPr>
            <w:r>
              <w:rPr>
                <w:rFonts w:ascii="Outfit" w:cs="Outfit" w:eastAsia="Outfit" w:hAnsi="Outfit"/>
                <w:b/>
                <w:bCs/>
                <w:caps/>
                <w:color w:val="64748B"/>
                <w:spacing w:val="30"/>
                <w:sz w:val="16"/>
                <w:szCs w:val="16"/>
              </w:rPr>
              <w:t xml:space="preserve">THE ONE SECRET THAT MATTERS</w:t>
            </w:r>
          </w:p>
          <w:p>
            <w:pPr>
              <w:jc w:val="left"/>
            </w:pPr>
            <w:r>
              <w:rPr>
                <w:rFonts w:ascii="Inter" w:cs="Inter" w:eastAsia="Inter" w:hAnsi="Inter"/>
                <w:color w:val="334155"/>
                <w:sz w:val="22"/>
                <w:szCs w:val="22"/>
              </w:rPr>
              <w:t xml:space="preserve">Enthusiasm is contagious. Talk about your coffee chats as something you get to do, not something you have to do, and people will follow your lead. Lead with the surprises — the thing you learned, the connection you never saw coming.</w:t>
            </w:r>
          </w:p>
        </w:tc>
      </w:tr>
    </w:tbl>
    <w:p>
      <w:pPr>
        <w:pStyle w:val="Heading2"/>
      </w:pPr>
      <w:r>
        <w:t xml:space="preserve">Contact &amp; Support</w:t>
      </w:r>
    </w:p>
    <w:p>
      <w:r>
        <w:t xml:space="preserve">Questions about your role as Champion? Your program administrator is your first port of call — and you’ll find more resources any time at coffee-and-law.com.</w:t>
      </w:r>
    </w:p>
    <w:sectPr>
      <w:headerReference w:type="default" r:id="rId6"/>
      <w:footerReference w:type="default" r:id="rId7"/>
      <w:pgSz w:w="11906" w:h="16838" w:orient="portrait"/>
      <w:pgMar w:top="1440" w:right="1080" w:bottom="1440" w:left="1080" w:header="0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w="http://schemas.openxmlformats.org/wordprocessingml/2006/main" xmlns:r="http://schemas.openxmlformats.org/officeDocument/2006/relationships">
  <w:font w:name="Inter">
    <w:panose1 w:val="020B0604020202020204"/>
    <w:charset w:val="00"/>
    <w:family w:val="swiss"/>
    <w:pitch w:val="variable"/>
  </w:font>
  <w:font w:name="Outfit">
    <w:panose1 w:val="020B0604020202020204"/>
    <w:charset w:val="00"/>
    <w:family w:val="swiss"/>
    <w:pitch w:val="variable"/>
  </w:font>
  <w:font w:name="Playfair Display">
    <w:panose1 w:val="02040603050405020304"/>
    <w:charset w:val="00"/>
    <w:family w:val="roman"/>
    <w:pitch w:val="variable"/>
  </w:font>
  <w:font w:name="Consolas">
    <w:panose1 w:val="020B0609020204030204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8"/>
      </w:pBdr>
      <w:jc w:val="center"/>
    </w:pPr>
    <w:r>
      <w:rPr>
        <w:rFonts w:ascii="Inter" w:cs="Inter" w:eastAsia="Inter" w:hAnsi="Inter"/>
        <w:color w:val="94A3B8"/>
        <w:sz w:val="16"/>
        <w:szCs w:val="16"/>
      </w:rPr>
      <w:t xml:space="preserve">Coffee &amp; Law  ·  https://www.coffee-and-law.com  ·  Page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94A3B8"/>
        <w:sz w:val="16"/>
        <w:szCs w:val="16"/>
      </w:rPr>
      <w:t xml:space="preserve"> of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1906"/>
      <w:tblInd w:type="dxa" w:w="-1080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  <w:tblLayout w:type="fixed"/>
    </w:tblPr>
    <w:tblGrid>
      <w:gridCol w:w="1780"/>
      <w:gridCol w:w="10126"/>
    </w:tblGrid>
    <w:tr>
      <w:trPr>
        <w:trHeight w:val="780" w:hRule="exact"/>
      </w:trPr>
      <w:tc>
        <w:tcPr>
          <w:tcW w:type="dxa" w:w="1780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1080"/>
            <w:bottom w:type="dxa" w:w="0"/>
            <w:right w:type="dxa" w:w="0"/>
          </w:tcMar>
          <w:vAlign w:val="center"/>
        </w:tcPr>
        <w:p>
          <w:pPr>
            <w:spacing w:before="0" w:after="0"/>
          </w:pPr>
          <w:r>
            <w:drawing>
              <wp:inline distT="0" distB="0" distL="0" distR="0">
                <wp:extent cx="266700" cy="266700"/>
                <wp:effectExtent t="0" r="0" b="0" l="0"/>
                <wp:docPr id="3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0126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90"/>
            <w:bottom w:type="dxa" w:w="0"/>
            <w:right w:type="dxa" w:w="1080"/>
          </w:tcMar>
          <w:vAlign w:val="center"/>
        </w:tcPr>
        <w:p>
          <w:pPr>
            <w:spacing w:before="0" w:after="0" w:line="240"/>
          </w:pPr>
          <w:r>
            <w:rPr>
              <w:rFonts w:ascii="Playfair Display" w:cs="Playfair Display" w:eastAsia="Playfair Display" w:hAnsi="Playfair Display"/>
              <w:b/>
              <w:bCs/>
              <w:color w:val="FFFFFF"/>
              <w:sz w:val="32"/>
              <w:szCs w:val="32"/>
            </w:rPr>
            <w:t xml:space="preserve">Coffee &amp; Law</w:t>
          </w:r>
        </w:p>
      </w:tc>
    </w:tr>
  </w:tbl>
  <w:p>
    <w:pPr>
      <w:spacing w:before="0" w:after="0" w:line="1"/>
    </w:pPr>
    <w:r>
      <w:drawing>
        <wp:anchor distT="0" distB="0" distL="0" distR="0" simplePos="0" allowOverlap="1" behindDoc="1" locked="0" layoutInCell="1" relativeHeight="106965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2850" cy="10696575"/>
          <wp:effectExtent t="0" r="0" b="0" l="0"/>
          <wp:wrapNone/>
          <wp:docPr id="5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autoHyphenation/>
  <w:doNotHyphenateCap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75569"/>
        <w:sz w:val="22"/>
        <w:szCs w:val="22"/>
      </w:rPr>
    </w:rPrDefault>
    <w:pPrDefault>
      <w:pPr>
        <w:spacing w:line="300"/>
        <w:jc w:val="both"/>
      </w:pPr>
    </w:pPrDefault>
  </w:docDefaults>
  <w:style w:type="paragraph" w:styleId="Title">
    <w:name w:val="Title"/>
    <w:basedOn w:val="Normal"/>
    <w:next w:val="Normal"/>
    <w:qFormat/>
    <w:pPr>
      <w:keepNext/>
      <w:keepLines/>
      <w:spacing w:after="160"/>
    </w:pPr>
    <w:rPr>
      <w:rFonts w:ascii="Playfair Display" w:cs="Playfair Display" w:eastAsia="Playfair Display" w:hAnsi="Playfair Display"/>
      <w:b/>
      <w:bCs/>
      <w:color w:val="0F172A"/>
      <w:sz w:val="56"/>
      <w:szCs w:val="56"/>
    </w:rPr>
  </w:style>
  <w:style w:type="paragraph" w:styleId="Heading1">
    <w:name w:val="Heading 1"/>
    <w:basedOn w:val="Normal"/>
    <w:next w:val="Normal"/>
    <w:qFormat/>
    <w:pPr>
      <w:keepNext/>
      <w:keepLines/>
      <w:spacing w:before="280" w:after="120"/>
    </w:pPr>
    <w:rPr>
      <w:rFonts w:ascii="Outfit" w:cs="Outfit" w:eastAsia="Outfit" w:hAnsi="Outfit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20" w:after="100"/>
    </w:pPr>
    <w:rPr>
      <w:rFonts w:ascii="Outfit" w:cs="Outfit" w:eastAsia="Outfit" w:hAnsi="Outfit"/>
      <w:b/>
      <w:bCs/>
      <w:color w:val="33415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180" w:after="80"/>
    </w:pPr>
    <w:rPr>
      <w:rFonts w:ascii="Outfit" w:cs="Outfit" w:eastAsia="Outfit" w:hAnsi="Outfit"/>
      <w:b/>
      <w:bCs/>
      <w:color w:val="334155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919accd881f5d571d6ec1fa45ed02e12cda75ddc.png"/><Relationship Id="rId9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17195424617f5b65452e3df2f081052e219ab773.png"/><Relationship Id="rId1" Type="http://schemas.openxmlformats.org/officeDocument/2006/relationships/image" Target="media/37267850775ff5bb2b1e2fc52089269a395cac97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Coffee &amp; Law</dc:creator>
  <cp:lastModifiedBy>Un-named</cp:lastModifiedBy>
  <cp:revision>1</cp:revision>
  <dcterms:created xsi:type="dcterms:W3CDTF">2026-06-28T07:59:35.238Z</dcterms:created>
  <dcterms:modified xsi:type="dcterms:W3CDTF">2026-06-28T07:59:35.238Z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