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before="360" w:after="40"/>
        <w:jc w:val="left"/>
      </w:pPr>
      <w:r>
        <w:rPr>
          <w:rFonts w:ascii="Playfair Display" w:cs="Playfair Display" w:eastAsia="Playfair Display" w:hAnsi="Playfair Display"/>
          <w:b/>
          <w:bCs/>
          <w:color w:val="0F172A"/>
          <w:sz w:val="56"/>
          <w:szCs w:val="56"/>
        </w:rPr>
        <w:t xml:space="preserve">Lawyer Guide</w:t>
      </w:r>
    </w:p>
    <w:p>
      <w:pPr>
        <w:spacing w:after="300"/>
        <w:jc w:val="left"/>
      </w:pPr>
      <w:r>
        <w:rPr>
          <w:rFonts w:ascii="Inter" w:cs="Inter" w:eastAsia="Inter" w:hAnsi="Inter"/>
          <w:color w:val="475569"/>
          <w:sz w:val="24"/>
          <w:szCs w:val="24"/>
        </w:rPr>
        <w:t xml:space="preserve">Everything you need to get the most out of your coffee chats</w:t>
      </w:r>
    </w:p>
    <w:p>
      <w:pPr>
        <w:keepNext/>
        <w:keepLines/>
        <w:spacing w:before="120" w:after="40"/>
        <w:jc w:val="center"/>
      </w:pPr>
      <w:r>
        <w:drawing>
          <wp:inline distT="0" distB="0" distL="0" distR="0">
            <wp:extent cx="2667000" cy="2000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Lines/>
        <w:spacing w:after="160"/>
        <w:jc w:val="center"/>
      </w:pPr>
      <w:r>
        <w:rPr>
          <w:rFonts w:ascii="Inter" w:cs="Inter" w:eastAsia="Inter" w:hAnsi="Inter"/>
          <w:i/>
          <w:iCs/>
          <w:color w:val="64748B"/>
          <w:sz w:val="18"/>
          <w:szCs w:val="18"/>
        </w:rPr>
        <w:t xml:space="preserve">Your guide to internal networking through Coffee &amp; Law</w:t>
      </w:r>
    </w:p>
    <w:p>
      <w:pPr>
        <w:pStyle w:val="Heading1"/>
      </w:pPr>
      <w:r>
        <w:t xml:space="preserve">Welcome — you’re in</w:t>
      </w:r>
    </w:p>
    <w:p>
      <w:r>
        <w:t xml:space="preserve">Coffee &amp; Law is your firm’s own networking platform, built to introduce you to colleagues you’d probably never meet otherwise — people in other practice groups, other offices, other corners of the building. Every couple of weeks we’ll pair you with one of them for a relaxed coffee chat. No agenda, no pressure: just a good conversation that quietly widens your world inside the firm.</w:t>
      </w:r>
    </w:p>
    <w:p>
      <w:pPr>
        <w:pStyle w:val="Heading2"/>
      </w:pPr>
      <w:r>
        <w:t xml:space="preserve">What’s in it for you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Relationships across practice groups that make collaboration easy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Fresh perspective from people who solve different problems all day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A real sense of belonging — the firm starts to feel smaller and friendlier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A front-row look at areas of law you don’t usually touch</w:t>
      </w:r>
    </w:p>
    <w:p>
      <w:r>
        <w:br w:type="page"/>
      </w:r>
    </w:p>
    <w:p>
      <w:pPr>
        <w:pStyle w:val="Heading1"/>
      </w:pPr>
      <w:r>
        <w:t xml:space="preserve">How It Works</w:t>
      </w:r>
    </w:p>
    <w:p>
      <w:r>
        <w:t xml:space="preserve">Four easy steps, start to finish</w:t>
      </w:r>
    </w:p>
    <w:p>
      <w:pPr>
        <w:spacing w:after="100" w:line="300"/>
        <w:ind w:left="360" w:hanging="360"/>
        <w:jc w:val="left"/>
      </w:pPr>
      <w:r>
        <w:rPr>
          <w:rFonts w:ascii="Outfit" w:cs="Outfit" w:eastAsia="Outfit" w:hAnsi="Outfit"/>
          <w:b/>
          <w:bCs/>
          <w:color w:val="334155"/>
          <w:sz w:val="22"/>
          <w:szCs w:val="22"/>
        </w:rPr>
        <w:t xml:space="preserve">1.  </w:t>
      </w:r>
      <w:r>
        <w:rPr>
          <w:rFonts w:ascii="Inter" w:cs="Inter" w:eastAsia="Inter" w:hAnsi="Inter"/>
          <w:b/>
          <w:bCs/>
          <w:color w:val="1E293B"/>
          <w:sz w:val="22"/>
          <w:szCs w:val="22"/>
        </w:rPr>
        <w:t xml:space="preserve">You get matched: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Our matching engine pairs you with a colleague from a different practice group or office — chosen precisely because your paths don’t normally cross.</w:t>
      </w:r>
    </w:p>
    <w:p>
      <w:pPr>
        <w:spacing w:after="100" w:line="300"/>
        <w:ind w:left="360" w:hanging="360"/>
        <w:jc w:val="left"/>
      </w:pPr>
      <w:r>
        <w:rPr>
          <w:rFonts w:ascii="Outfit" w:cs="Outfit" w:eastAsia="Outfit" w:hAnsi="Outfit"/>
          <w:b/>
          <w:bCs/>
          <w:color w:val="334155"/>
          <w:sz w:val="22"/>
          <w:szCs w:val="22"/>
        </w:rPr>
        <w:t xml:space="preserve">2.  </w:t>
      </w:r>
      <w:r>
        <w:rPr>
          <w:rFonts w:ascii="Inter" w:cs="Inter" w:eastAsia="Inter" w:hAnsi="Inter"/>
          <w:b/>
          <w:bCs/>
          <w:color w:val="1E293B"/>
          <w:sz w:val="22"/>
          <w:szCs w:val="22"/>
        </w:rPr>
        <w:t xml:space="preserve">Your invitation lands: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An email arrives with your match’s name, practice area, office, and a quick hello. One of you is named the "host" — the one who reaches out first, so nobody’s left wondering who goes next.</w:t>
      </w:r>
    </w:p>
    <w:p>
      <w:pPr>
        <w:spacing w:after="100" w:line="300"/>
        <w:ind w:left="360" w:hanging="360"/>
        <w:jc w:val="left"/>
      </w:pPr>
      <w:r>
        <w:rPr>
          <w:rFonts w:ascii="Outfit" w:cs="Outfit" w:eastAsia="Outfit" w:hAnsi="Outfit"/>
          <w:b/>
          <w:bCs/>
          <w:color w:val="334155"/>
          <w:sz w:val="22"/>
          <w:szCs w:val="22"/>
        </w:rPr>
        <w:t xml:space="preserve">3.  </w:t>
      </w:r>
      <w:r>
        <w:rPr>
          <w:rFonts w:ascii="Inter" w:cs="Inter" w:eastAsia="Inter" w:hAnsi="Inter"/>
          <w:b/>
          <w:bCs/>
          <w:color w:val="1E293B"/>
          <w:sz w:val="22"/>
          <w:szCs w:val="22"/>
        </w:rPr>
        <w:t xml:space="preserve">You pick a time: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The host suggests a 15–30 minute chat, in person or over video. A morning coffee, a quick afternoon break — whatever suits you both. Keep it short and easy.</w:t>
      </w:r>
    </w:p>
    <w:p>
      <w:pPr>
        <w:spacing w:after="100" w:line="300"/>
        <w:ind w:left="360" w:hanging="360"/>
        <w:jc w:val="left"/>
      </w:pPr>
      <w:r>
        <w:rPr>
          <w:rFonts w:ascii="Outfit" w:cs="Outfit" w:eastAsia="Outfit" w:hAnsi="Outfit"/>
          <w:b/>
          <w:bCs/>
          <w:color w:val="334155"/>
          <w:sz w:val="22"/>
          <w:szCs w:val="22"/>
        </w:rPr>
        <w:t xml:space="preserve">4.  </w:t>
      </w:r>
      <w:r>
        <w:rPr>
          <w:rFonts w:ascii="Inter" w:cs="Inter" w:eastAsia="Inter" w:hAnsi="Inter"/>
          <w:b/>
          <w:bCs/>
          <w:color w:val="1E293B"/>
          <w:sz w:val="22"/>
          <w:szCs w:val="22"/>
        </w:rPr>
        <w:t xml:space="preserve">You connect: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Then just talk. Swap stories about your work, find the things you have in common, and enjoy it. The best of these conversations turn into relationships that outlast the coffee.</w:t>
      </w:r>
    </w:p>
    <w:p>
      <w:pPr>
        <w:pStyle w:val="Heading2"/>
      </w:pPr>
      <w:r>
        <w:t xml:space="preserve">How to have a great chat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Lead with curiosity — ask about their path, what they’re working on, what they love (and don’t love) about it.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Offer something back: what you do, what’s on your plate, where you could use a hand.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Keep it human. This isn’t a meeting with minutes — it’s two colleagues getting to know each other.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If you click, don’t let it fizzle. A quick follow-up is how a one-off chat becomes a real connection.</w:t>
      </w:r>
    </w:p>
    <w:sectPr>
      <w:headerReference w:type="default" r:id="rId6"/>
      <w:footerReference w:type="default" r:id="rId7"/>
      <w:pgSz w:w="11906" w:h="16838" w:orient="portrait"/>
      <w:pgMar w:top="1440" w:right="1080" w:bottom="1440" w:left="1080" w:header="0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w="http://schemas.openxmlformats.org/wordprocessingml/2006/main" xmlns:r="http://schemas.openxmlformats.org/officeDocument/2006/relationships">
  <w:font w:name="Inter">
    <w:panose1 w:val="020B0604020202020204"/>
    <w:charset w:val="00"/>
    <w:family w:val="swiss"/>
    <w:pitch w:val="variable"/>
  </w:font>
  <w:font w:name="Outfit">
    <w:panose1 w:val="020B0604020202020204"/>
    <w:charset w:val="00"/>
    <w:family w:val="swiss"/>
    <w:pitch w:val="variable"/>
  </w:font>
  <w:font w:name="Playfair Display">
    <w:panose1 w:val="02040603050405020304"/>
    <w:charset w:val="00"/>
    <w:family w:val="roman"/>
    <w:pitch w:val="variable"/>
  </w:font>
  <w:font w:name="Consolas">
    <w:panose1 w:val="020B0609020204030204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8"/>
      </w:pBdr>
      <w:jc w:val="center"/>
    </w:pPr>
    <w:r>
      <w:rPr>
        <w:rFonts w:ascii="Inter" w:cs="Inter" w:eastAsia="Inter" w:hAnsi="Inter"/>
        <w:color w:val="94A3B8"/>
        <w:sz w:val="16"/>
        <w:szCs w:val="16"/>
      </w:rPr>
      <w:t xml:space="preserve">Coffee &amp; Law  ·  https://www.coffee-and-law.com  ·  Page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94A3B8"/>
        <w:sz w:val="16"/>
        <w:szCs w:val="16"/>
      </w:rPr>
      <w:t xml:space="preserve"> of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1906"/>
      <w:tblInd w:type="dxa" w:w="-1080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  <w:tblLayout w:type="fixed"/>
    </w:tblPr>
    <w:tblGrid>
      <w:gridCol w:w="1780"/>
      <w:gridCol w:w="10126"/>
    </w:tblGrid>
    <w:tr>
      <w:trPr>
        <w:trHeight w:val="780" w:hRule="exact"/>
      </w:trPr>
      <w:tc>
        <w:tcPr>
          <w:tcW w:type="dxa" w:w="1780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1080"/>
            <w:bottom w:type="dxa" w:w="0"/>
            <w:right w:type="dxa" w:w="0"/>
          </w:tcMar>
          <w:vAlign w:val="center"/>
        </w:tcPr>
        <w:p>
          <w:pPr>
            <w:spacing w:before="0" w:after="0"/>
          </w:pPr>
          <w:r>
            <w:drawing>
              <wp:inline distT="0" distB="0" distL="0" distR="0">
                <wp:extent cx="266700" cy="266700"/>
                <wp:effectExtent t="0" r="0" b="0" l="0"/>
                <wp:docPr id="3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0126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90"/>
            <w:bottom w:type="dxa" w:w="0"/>
            <w:right w:type="dxa" w:w="1080"/>
          </w:tcMar>
          <w:vAlign w:val="center"/>
        </w:tcPr>
        <w:p>
          <w:pPr>
            <w:spacing w:before="0" w:after="0" w:line="240"/>
          </w:pPr>
          <w:r>
            <w:rPr>
              <w:rFonts w:ascii="Playfair Display" w:cs="Playfair Display" w:eastAsia="Playfair Display" w:hAnsi="Playfair Display"/>
              <w:b/>
              <w:bCs/>
              <w:color w:val="FFFFFF"/>
              <w:sz w:val="32"/>
              <w:szCs w:val="32"/>
            </w:rPr>
            <w:t xml:space="preserve">Coffee &amp; Law</w:t>
          </w:r>
        </w:p>
      </w:tc>
    </w:tr>
  </w:tbl>
  <w:p>
    <w:pPr>
      <w:spacing w:before="0" w:after="0" w:line="1"/>
    </w:pPr>
    <w:r>
      <w:drawing>
        <wp:anchor distT="0" distB="0" distL="0" distR="0" simplePos="0" allowOverlap="1" behindDoc="1" locked="0" layoutInCell="1" relativeHeight="106965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2850" cy="10696575"/>
          <wp:effectExtent t="0" r="0" b="0" l="0"/>
          <wp:wrapNone/>
          <wp:docPr id="5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autoHyphenation/>
  <w:doNotHyphenateCap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75569"/>
        <w:sz w:val="22"/>
        <w:szCs w:val="22"/>
      </w:rPr>
    </w:rPrDefault>
    <w:pPrDefault>
      <w:pPr>
        <w:spacing w:line="300"/>
        <w:jc w:val="both"/>
      </w:pPr>
    </w:pPrDefault>
  </w:docDefaults>
  <w:style w:type="paragraph" w:styleId="Title">
    <w:name w:val="Title"/>
    <w:basedOn w:val="Normal"/>
    <w:next w:val="Normal"/>
    <w:qFormat/>
    <w:pPr>
      <w:keepNext/>
      <w:keepLines/>
      <w:spacing w:after="160"/>
    </w:pPr>
    <w:rPr>
      <w:rFonts w:ascii="Playfair Display" w:cs="Playfair Display" w:eastAsia="Playfair Display" w:hAnsi="Playfair Display"/>
      <w:b/>
      <w:bCs/>
      <w:color w:val="0F172A"/>
      <w:sz w:val="56"/>
      <w:szCs w:val="56"/>
    </w:rPr>
  </w:style>
  <w:style w:type="paragraph" w:styleId="Heading1">
    <w:name w:val="Heading 1"/>
    <w:basedOn w:val="Normal"/>
    <w:next w:val="Normal"/>
    <w:qFormat/>
    <w:pPr>
      <w:keepNext/>
      <w:keepLines/>
      <w:spacing w:before="280" w:after="120"/>
    </w:pPr>
    <w:rPr>
      <w:rFonts w:ascii="Outfit" w:cs="Outfit" w:eastAsia="Outfit" w:hAnsi="Outfit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20" w:after="100"/>
    </w:pPr>
    <w:rPr>
      <w:rFonts w:ascii="Outfit" w:cs="Outfit" w:eastAsia="Outfit" w:hAnsi="Outfit"/>
      <w:b/>
      <w:bCs/>
      <w:color w:val="33415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180" w:after="80"/>
    </w:pPr>
    <w:rPr>
      <w:rFonts w:ascii="Outfit" w:cs="Outfit" w:eastAsia="Outfit" w:hAnsi="Outfit"/>
      <w:b/>
      <w:bCs/>
      <w:color w:val="334155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955c7bae07e07a08f2c7468e1dbd3c53e1c94807.png"/><Relationship Id="rId9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17195424617f5b65452e3df2f081052e219ab773.png"/><Relationship Id="rId1" Type="http://schemas.openxmlformats.org/officeDocument/2006/relationships/image" Target="media/37267850775ff5bb2b1e2fc52089269a395cac97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Coffee &amp; Law</dc:creator>
  <cp:lastModifiedBy>Un-named</cp:lastModifiedBy>
  <cp:revision>1</cp:revision>
  <dcterms:created xsi:type="dcterms:W3CDTF">2026-06-28T07:59:35.471Z</dcterms:created>
  <dcterms:modified xsi:type="dcterms:W3CDTF">2026-06-28T07:59:35.471Z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