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spacing w:before="360" w:after="40"/>
        <w:jc w:val="left"/>
      </w:pPr>
      <w:r>
        <w:rPr>
          <w:rFonts w:ascii="Playfair Display" w:cs="Playfair Display" w:eastAsia="Playfair Display" w:hAnsi="Playfair Display"/>
          <w:b/>
          <w:bCs/>
          <w:color w:val="0F172A"/>
          <w:sz w:val="56"/>
          <w:szCs w:val="56"/>
        </w:rPr>
        <w:t xml:space="preserve">Objection Handler</w:t>
      </w:r>
    </w:p>
    <w:p>
      <w:pPr>
        <w:spacing w:after="300"/>
        <w:jc w:val="left"/>
      </w:pPr>
      <w:r>
        <w:rPr>
          <w:rFonts w:ascii="Inter" w:cs="Inter" w:eastAsia="Inter" w:hAnsi="Inter"/>
          <w:color w:val="475569"/>
          <w:sz w:val="24"/>
          <w:szCs w:val="24"/>
        </w:rPr>
        <w:t xml:space="preserve">The calm, confident answer to every "yes, but…" you’ll hear</w:t>
      </w:r>
    </w:p>
    <w:p>
      <w:r>
        <w:t xml:space="preserve">Keep this beside you when you pitch Coffee &amp; Law to leadership. Every common pushback is here with a short, evidence-led reply you can deliver without missing a beat — find the objection on the left, read the response on the right.</w:t>
      </w:r>
    </w:p>
    <w:p>
      <w:pPr>
        <w:pStyle w:val="Heading2"/>
      </w:pPr>
      <w:r>
        <w:t xml:space="preserve">Every "yes, but…", answered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100"/>
        <w:gridCol w:w="100"/>
      </w:tblGrid>
      <w:tr>
        <w:trPr>
          <w:cantSplit/>
          <w:tblHeader/>
        </w:trPr>
        <w:tc>
          <w:tcPr>
            <w:shd w:fill="F1F5F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Outfit" w:cs="Outfit" w:eastAsia="Outfit" w:hAnsi="Outfit"/>
                <w:b/>
                <w:bCs/>
                <w:color w:val="0F172A"/>
                <w:sz w:val="20"/>
                <w:szCs w:val="20"/>
              </w:rPr>
              <w:t xml:space="preserve">You’ll hear…</w:t>
            </w:r>
          </w:p>
        </w:tc>
        <w:tc>
          <w:tcPr>
            <w:shd w:fill="F1F5F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Outfit" w:cs="Outfit" w:eastAsia="Outfit" w:hAnsi="Outfit"/>
                <w:b/>
                <w:bCs/>
                <w:color w:val="0F172A"/>
                <w:sz w:val="20"/>
                <w:szCs w:val="20"/>
              </w:rPr>
              <w:t xml:space="preserve">You say…</w:t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>"Lawyers are too busy for this."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>It’s fifteen minutes every two weeks — less than one meeting that ran long. A single cross-practice referral dwarfs that investment many times over, and participants routinely call it the best fifteen minutes of their week.</w:t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>"We already have firm events and retreats."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>Events are great for visibility — but at a reception, people drift toward the colleagues they already know. Coffee &amp; Law deliberately makes the introductions that receptions never do: new faces, across practice groups, every fortnight.</w:t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>"This is just socializing, not business development."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>Relationships come before referrals — nobody sends work to a stranger. The trust built over a casual coffee is exactly what makes cross-practice collaboration possible. Every major client relationship began as a conversation.</w:t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>"How do we measure success?"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>It’s measurable out of the box: participation rates, network density (who’s connected to whom), and self-reported collaboration. Track those against cross-practice origination credits over time, and add a short pulse survey for the qualitative colour.</w:t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>"We tried something like this before and it fizzled."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>It fizzled because a human had to run it. Coffee &amp; Law automates the matching, the nudges, and the tracking — so there’s no coordinator burnout, no spreadsheet to maintain, and no pairing ever forgotten. It keeps going when enthusiasm dips.</w:t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>"Partners won’t participate."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>Start with associates and counsel. Once the junior ranks are visibly connecting, partners want in — energy is contagious. Or pilot it with one already-enthusiastic practice group and let the success stories travel. Opt-out beats opt-in, too.</w:t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>"What does it cost?"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>Nothing. Coffee &amp; Law is currently free — no implementation fees, no per-seat licenses, no contracts, no credit card. The only cost is fifteen minutes per lawyer per fortnight, and one cross-practice referral repays that many times over.</w:t>
            </w:r>
          </w:p>
        </w:tc>
      </w:tr>
    </w:tbl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100"/>
      </w:tblGrid>
      <w:tr>
        <w:tc>
          <w:tcPr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  <w:jc w:val="left"/>
            </w:pPr>
            <w:r>
              <w:rPr>
                <w:rFonts w:ascii="Outfit" w:cs="Outfit" w:eastAsia="Outfit" w:hAnsi="Outfit"/>
                <w:b/>
                <w:bCs/>
                <w:caps/>
                <w:color w:val="64748B"/>
                <w:spacing w:val="30"/>
                <w:sz w:val="16"/>
                <w:szCs w:val="16"/>
              </w:rPr>
              <w:t xml:space="preserve">THE ONE MOVE THAT ALWAYS WORKS</w:t>
            </w:r>
          </w:p>
          <w:p>
            <w:pPr>
              <w:jc w:val="left"/>
            </w:pPr>
            <w:r>
              <w:rPr>
                <w:rFonts w:ascii="Inter" w:cs="Inter" w:eastAsia="Inter" w:hAnsi="Inter"/>
                <w:color w:val="334155"/>
                <w:sz w:val="22"/>
                <w:szCs w:val="22"/>
              </w:rPr>
              <w:t xml:space="preserve">Don’t argue — acknowledge, then redirect. "That’s a fair concern; here’s what other firms have found…" makes you the helpful guide in the room, not the salesperson on the back foot.</w:t>
            </w:r>
          </w:p>
        </w:tc>
      </w:tr>
    </w:tbl>
    <w:sectPr>
      <w:headerReference w:type="default" r:id="rId6"/>
      <w:footerReference w:type="default" r:id="rId7"/>
      <w:pgSz w:w="11906" w:h="16838" w:orient="portrait"/>
      <w:pgMar w:top="1440" w:right="1080" w:bottom="1440" w:left="1080" w:header="0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w="http://schemas.openxmlformats.org/wordprocessingml/2006/main" xmlns:r="http://schemas.openxmlformats.org/officeDocument/2006/relationships">
  <w:font w:name="Inter">
    <w:panose1 w:val="020B0604020202020204"/>
    <w:charset w:val="00"/>
    <w:family w:val="swiss"/>
    <w:pitch w:val="variable"/>
  </w:font>
  <w:font w:name="Outfit">
    <w:panose1 w:val="020B0604020202020204"/>
    <w:charset w:val="00"/>
    <w:family w:val="swiss"/>
    <w:pitch w:val="variable"/>
  </w:font>
  <w:font w:name="Playfair Display">
    <w:panose1 w:val="02040603050405020304"/>
    <w:charset w:val="00"/>
    <w:family w:val="roman"/>
    <w:pitch w:val="variable"/>
  </w:font>
  <w:font w:name="Consolas">
    <w:panose1 w:val="020B0609020204030204"/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8"/>
      </w:pBdr>
      <w:jc w:val="center"/>
    </w:pPr>
    <w:r>
      <w:rPr>
        <w:rFonts w:ascii="Inter" w:cs="Inter" w:eastAsia="Inter" w:hAnsi="Inter"/>
        <w:color w:val="94A3B8"/>
        <w:sz w:val="16"/>
        <w:szCs w:val="16"/>
      </w:rPr>
      <w:t xml:space="preserve">Coffee &amp; Law  ·  https://www.coffee-and-law.com  ·  Page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Inter" w:cs="Inter" w:eastAsia="Inter" w:hAnsi="Inter"/>
        <w:color w:val="94A3B8"/>
        <w:sz w:val="16"/>
        <w:szCs w:val="16"/>
      </w:rPr>
      <w:t xml:space="preserve"> of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1906"/>
      <w:tblInd w:type="dxa" w:w="-1080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  <w:tblLayout w:type="fixed"/>
    </w:tblPr>
    <w:tblGrid>
      <w:gridCol w:w="1780"/>
      <w:gridCol w:w="10126"/>
    </w:tblGrid>
    <w:tr>
      <w:trPr>
        <w:trHeight w:val="780" w:hRule="exact"/>
      </w:trPr>
      <w:tc>
        <w:tcPr>
          <w:tcW w:type="dxa" w:w="1780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1080"/>
            <w:bottom w:type="dxa" w:w="0"/>
            <w:right w:type="dxa" w:w="0"/>
          </w:tcMar>
          <w:vAlign w:val="center"/>
        </w:tcPr>
        <w:p>
          <w:pPr>
            <w:spacing w:before="0" w:after="0"/>
          </w:pPr>
          <w:r>
            <w:drawing>
              <wp:inline distT="0" distB="0" distL="0" distR="0">
                <wp:extent cx="266700" cy="26670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10126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90"/>
            <w:bottom w:type="dxa" w:w="0"/>
            <w:right w:type="dxa" w:w="1080"/>
          </w:tcMar>
          <w:vAlign w:val="center"/>
        </w:tcPr>
        <w:p>
          <w:pPr>
            <w:spacing w:before="0" w:after="0" w:line="240"/>
          </w:pPr>
          <w:r>
            <w:rPr>
              <w:rFonts w:ascii="Playfair Display" w:cs="Playfair Display" w:eastAsia="Playfair Display" w:hAnsi="Playfair Display"/>
              <w:b/>
              <w:bCs/>
              <w:color w:val="FFFFFF"/>
              <w:sz w:val="32"/>
              <w:szCs w:val="32"/>
            </w:rPr>
            <w:t xml:space="preserve">Coffee &amp; Law</w:t>
          </w:r>
        </w:p>
      </w:tc>
    </w:tr>
  </w:tbl>
  <w:p>
    <w:pPr>
      <w:spacing w:before="0" w:after="0" w:line="1"/>
    </w:pPr>
    <w:r>
      <w:drawing>
        <wp:anchor distT="0" distB="0" distL="0" distR="0" simplePos="0" allowOverlap="1" behindDoc="1" locked="0" layoutInCell="1" relativeHeight="1069657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2850" cy="10696575"/>
          <wp:effectExtent t="0" r="0" b="0" l="0"/>
          <wp:wrapNone/>
          <wp:docPr id="3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autoHyphenation/>
  <w:doNotHyphenateCaps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75569"/>
        <w:sz w:val="22"/>
        <w:szCs w:val="22"/>
      </w:rPr>
    </w:rPrDefault>
    <w:pPrDefault>
      <w:pPr>
        <w:spacing w:line="300"/>
        <w:jc w:val="both"/>
      </w:pPr>
    </w:pPrDefault>
  </w:docDefaults>
  <w:style w:type="paragraph" w:styleId="Title">
    <w:name w:val="Title"/>
    <w:basedOn w:val="Normal"/>
    <w:next w:val="Normal"/>
    <w:qFormat/>
    <w:pPr>
      <w:keepNext/>
      <w:keepLines/>
      <w:spacing w:after="160"/>
    </w:pPr>
    <w:rPr>
      <w:rFonts w:ascii="Playfair Display" w:cs="Playfair Display" w:eastAsia="Playfair Display" w:hAnsi="Playfair Display"/>
      <w:b/>
      <w:bCs/>
      <w:color w:val="0F172A"/>
      <w:sz w:val="56"/>
      <w:szCs w:val="56"/>
    </w:rPr>
  </w:style>
  <w:style w:type="paragraph" w:styleId="Heading1">
    <w:name w:val="Heading 1"/>
    <w:basedOn w:val="Normal"/>
    <w:next w:val="Normal"/>
    <w:qFormat/>
    <w:pPr>
      <w:keepNext/>
      <w:keepLines/>
      <w:spacing w:before="280" w:after="120"/>
    </w:pPr>
    <w:rPr>
      <w:rFonts w:ascii="Outfit" w:cs="Outfit" w:eastAsia="Outfit" w:hAnsi="Outfit"/>
      <w:b/>
      <w:bCs/>
      <w:color w:val="0F172A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20" w:after="100"/>
    </w:pPr>
    <w:rPr>
      <w:rFonts w:ascii="Outfit" w:cs="Outfit" w:eastAsia="Outfit" w:hAnsi="Outfit"/>
      <w:b/>
      <w:bCs/>
      <w:color w:val="334155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180" w:after="80"/>
    </w:pPr>
    <w:rPr>
      <w:rFonts w:ascii="Outfit" w:cs="Outfit" w:eastAsia="Outfit" w:hAnsi="Outfit"/>
      <w:b/>
      <w:bCs/>
      <w:color w:val="334155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17195424617f5b65452e3df2f081052e219ab773.png"/><Relationship Id="rId1" Type="http://schemas.openxmlformats.org/officeDocument/2006/relationships/image" Target="media/37267850775ff5bb2b1e2fc52089269a395cac97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Coffee &amp; Law</dc:creator>
  <cp:lastModifiedBy>Un-named</cp:lastModifiedBy>
  <cp:revision>1</cp:revision>
  <dcterms:created xsi:type="dcterms:W3CDTF">2026-06-28T07:59:35.178Z</dcterms:created>
  <dcterms:modified xsi:type="dcterms:W3CDTF">2026-06-28T07:59:35.178Z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