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spacing w:before="360" w:after="40"/>
        <w:jc w:val="left"/>
      </w:pPr>
      <w:r>
        <w:rPr>
          <w:rFonts w:ascii="Playfair Display" w:cs="Playfair Display" w:eastAsia="Playfair Display" w:hAnsi="Playfair Display"/>
          <w:b/>
          <w:bCs/>
          <w:color w:val="0F172A"/>
          <w:sz w:val="56"/>
          <w:szCs w:val="56"/>
        </w:rPr>
        <w:t xml:space="preserve">Implementation Playbook</w:t>
      </w:r>
    </w:p>
    <w:p>
      <w:pPr>
        <w:spacing w:after="300"/>
        <w:jc w:val="left"/>
      </w:pPr>
      <w:r>
        <w:rPr>
          <w:rFonts w:ascii="Inter" w:cs="Inter" w:eastAsia="Inter" w:hAnsi="Inter"/>
          <w:color w:val="475569"/>
          <w:sz w:val="24"/>
          <w:szCs w:val="24"/>
        </w:rPr>
        <w:t xml:space="preserve">Everything you need to launch Coffee &amp; Law — and keep it thriving — at your firm</w:t>
      </w:r>
    </w:p>
    <w:p>
      <w:pPr>
        <w:keepNext/>
        <w:keepLines/>
        <w:spacing w:before="120" w:after="40"/>
        <w:jc w:val="center"/>
      </w:pPr>
      <w:r>
        <w:drawing>
          <wp:inline distT="0" distB="0" distL="0" distR="0">
            <wp:extent cx="2667000" cy="2000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
                    <pic:cNvPicPr>
                      <a:picLocks noChangeAspect="1" noChangeArrowheads="1"/>
                    </pic:cNvPicPr>
                  </pic:nvPicPr>
                  <pic:blipFill>
                    <a:blip r:embed="rId8" cstate="none"/>
                    <a:srcRect/>
                    <a:stretch>
                      <a:fillRect/>
                    </a:stretch>
                  </pic:blipFill>
                  <pic:spPr bwMode="auto">
                    <a:xfrm>
                      <a:off x="0" y="0"/>
                      <a:ext cx="2667000" cy="2000250"/>
                    </a:xfrm>
                    <a:prstGeom prst="rect">
                      <a:avLst/>
                    </a:prstGeom>
                  </pic:spPr>
                </pic:pic>
              </a:graphicData>
            </a:graphic>
          </wp:inline>
        </w:drawing>
      </w:r>
    </w:p>
    <w:p>
      <w:pPr>
        <w:keepLines/>
        <w:spacing w:after="160"/>
        <w:jc w:val="center"/>
      </w:pPr>
      <w:r>
        <w:rPr>
          <w:rFonts w:ascii="Inter" w:cs="Inter" w:eastAsia="Inter" w:hAnsi="Inter"/>
          <w:i/>
          <w:iCs/>
          <w:color w:val="64748B"/>
          <w:sz w:val="18"/>
          <w:szCs w:val="18"/>
        </w:rPr>
        <w:t xml:space="preserve">Breaking down silos, one coffee at a time</w:t>
      </w:r>
    </w:p>
    <w:p>
      <w:r>
        <w:br w:type="page"/>
      </w:r>
    </w:p>
    <w:p>
      <w:pPr>
        <w:pStyle w:val="Heading1"/>
      </w:pPr>
      <w:r>
        <w:t xml:space="preserve">Table of Contents</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gridCol w:w="100"/>
      </w:tblGrid>
      <w:tr>
        <w:trPr>
          <w:cantSplit/>
          <w:tblHeader/>
        </w:trPr>
        <w:tc>
          <w:tcPr>
            <w:shd w:fill="F1F5F9" w:color="auto" w:val="clear"/>
            <w:tcMar>
              <w:top w:type="dxa" w:w="80"/>
              <w:left w:type="dxa" w:w="120"/>
              <w:bottom w:type="dxa" w:w="80"/>
              <w:right w:type="dxa" w:w="120"/>
            </w:tcMar>
            <w:vAlign w:val="center"/>
          </w:tcPr>
          <w:p>
            <w:pPr>
              <w:jc w:val="left"/>
            </w:pPr>
            <w:r>
              <w:rPr>
                <w:rFonts w:ascii="Outfit" w:cs="Outfit" w:eastAsia="Outfit" w:hAnsi="Outfit"/>
                <w:b/>
                <w:bCs/>
                <w:color w:val="0F172A"/>
                <w:sz w:val="20"/>
                <w:szCs w:val="20"/>
              </w:rPr>
              <w:t xml:space="preserve">Section</w:t>
            </w:r>
          </w:p>
        </w:tc>
        <w:tc>
          <w:tcPr>
            <w:shd w:fill="F1F5F9" w:color="auto" w:val="clear"/>
            <w:tcMar>
              <w:top w:type="dxa" w:w="80"/>
              <w:left w:type="dxa" w:w="120"/>
              <w:bottom w:type="dxa" w:w="80"/>
              <w:right w:type="dxa" w:w="120"/>
            </w:tcMar>
            <w:vAlign w:val="center"/>
          </w:tcPr>
          <w:p>
            <w:pPr>
              <w:jc w:val="left"/>
            </w:pPr>
            <w:r>
              <w:rPr>
                <w:rFonts w:ascii="Outfit" w:cs="Outfit" w:eastAsia="Outfit" w:hAnsi="Outfit"/>
                <w:b/>
                <w:bCs/>
                <w:color w:val="0F172A"/>
                <w:sz w:val="20"/>
                <w:szCs w:val="20"/>
              </w:rPr>
              <w:t xml:space="preserve">Page</w:t>
            </w:r>
          </w:p>
        </w:tc>
      </w:tr>
      <w:tr>
        <w:trPr>
          <w:cantSplit/>
        </w:trPr>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Executive Overview</w:t>
            </w:r>
          </w:p>
        </w:tc>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3</w:t>
            </w:r>
          </w:p>
        </w:tc>
      </w:tr>
      <w:tr>
        <w:trPr>
          <w:cantSplit/>
        </w:trPr>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Phase 1: Assessment &amp; Planning</w:t>
            </w:r>
          </w:p>
        </w:tc>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4</w:t>
            </w:r>
          </w:p>
        </w:tc>
      </w:tr>
      <w:tr>
        <w:trPr>
          <w:cantSplit/>
        </w:trPr>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Phase 2: Stakeholder Buy-In</w:t>
            </w:r>
          </w:p>
        </w:tc>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6</w:t>
            </w:r>
          </w:p>
        </w:tc>
      </w:tr>
      <w:tr>
        <w:trPr>
          <w:cantSplit/>
        </w:trPr>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Phase 3: Technical Setup</w:t>
            </w:r>
          </w:p>
        </w:tc>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8</w:t>
            </w:r>
          </w:p>
        </w:tc>
      </w:tr>
      <w:tr>
        <w:trPr>
          <w:cantSplit/>
        </w:trPr>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Phase 4: Launch Strategy</w:t>
            </w:r>
          </w:p>
        </w:tc>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10</w:t>
            </w:r>
          </w:p>
        </w:tc>
      </w:tr>
      <w:tr>
        <w:trPr>
          <w:cantSplit/>
        </w:trPr>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Phase 5: Engagement &amp; Growth</w:t>
            </w:r>
          </w:p>
        </w:tc>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12</w:t>
            </w:r>
          </w:p>
        </w:tc>
      </w:tr>
      <w:tr>
        <w:trPr>
          <w:cantSplit/>
        </w:trPr>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Phase 6: Measurement &amp; ROI</w:t>
            </w:r>
          </w:p>
        </w:tc>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14</w:t>
            </w:r>
          </w:p>
        </w:tc>
      </w:tr>
      <w:tr>
        <w:trPr>
          <w:cantSplit/>
        </w:trPr>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Troubleshooting Guide</w:t>
            </w:r>
          </w:p>
        </w:tc>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16</w:t>
            </w:r>
          </w:p>
        </w:tc>
      </w:tr>
      <w:tr>
        <w:trPr>
          <w:cantSplit/>
        </w:trPr>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Templates &amp; Resources</w:t>
            </w:r>
          </w:p>
        </w:tc>
        <w:tc>
          <w:tcPr>
            <w:tcMar>
              <w:top w:type="dxa" w:w="80"/>
              <w:left w:type="dxa" w:w="120"/>
              <w:bottom w:type="dxa" w:w="80"/>
              <w:right w:type="dxa" w:w="120"/>
            </w:tcMar>
            <w:vAlign w:val="center"/>
          </w:tcPr>
          <w:p>
            <w:pPr>
              <w:jc w:val="left"/>
            </w:pPr>
            <w:r>
              <w:rPr>
                <w:rFonts w:ascii="Inter" w:cs="Inter" w:eastAsia="Inter" w:hAnsi="Inter"/>
                <w:color w:val="475569"/>
                <w:sz w:val="20"/>
                <w:szCs w:val="20"/>
              </w:rPr>
              <w:t xml:space="preserve">18</w:t>
            </w:r>
          </w:p>
        </w:tc>
      </w:tr>
    </w:tbl>
    <w:p>
      <w:r>
        <w:br w:type="page"/>
      </w:r>
    </w:p>
    <w:p>
      <w:pPr>
        <w:pStyle w:val="Heading1"/>
      </w:pPr>
      <w:r>
        <w:t xml:space="preserve">Executive Overview</w:t>
      </w:r>
    </w:p>
    <w:p>
      <w:pPr>
        <w:pStyle w:val="Heading3"/>
      </w:pPr>
      <w:r>
        <w:t xml:space="preserve">Why the coffee chat became a strategic tool</w:t>
      </w:r>
    </w:p>
    <w:p>
      <w:r>
        <w:t xml:space="preserve">The relationships that make a firm feel like one firm used to form by accident — in the elevator, over a shared printer, at the coffee machine. Hybrid schedules and growing specialization have all but erased those moments. Coffee &amp; Law brings them back on purpose, turning a casual fifteen-minute chat into one of the most reliable levers you have for retention, collaboration, and culture.</w:t>
      </w:r>
    </w:p>
    <w:p>
      <w:r>
        <w:t xml:space="preserve">This playbook is your end-to-end roadmap — from honest assessment through launch, growth, and proving ROI. Follow it as a checklist or skim for the parts you need. The principles hold whether you’re a 50-person boutique or a 5,000-lawyer international firm; only the scale changes.</w:t>
      </w:r>
    </w:p>
    <w:p>
      <w:pPr>
        <w:pStyle w:val="Heading2"/>
      </w:pPr>
      <w:r>
        <w:t xml:space="preserve">The Business Case</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Keep your people: </w:t>
      </w:r>
      <w:r>
        <w:rPr>
          <w:rFonts w:ascii="Inter" w:cs="Inter" w:eastAsia="Inter" w:hAnsi="Inter"/>
          <w:color w:val="475569"/>
          <w:sz w:val="22"/>
          <w:szCs w:val="22"/>
        </w:rPr>
        <w:t xml:space="preserve">Lawyers who feel connected to the firm stay longer — and replacing a departing associate is expensive</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Win more work in-house: </w:t>
      </w:r>
      <w:r>
        <w:rPr>
          <w:rFonts w:ascii="Inter" w:cs="Inter" w:eastAsia="Inter" w:hAnsi="Inter"/>
          <w:color w:val="475569"/>
          <w:sz w:val="22"/>
          <w:szCs w:val="22"/>
        </w:rPr>
        <w:t xml:space="preserve">When colleagues actually know each other, referrals flow across practice groups instead of out the door</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Onboard faster: </w:t>
      </w:r>
      <w:r>
        <w:rPr>
          <w:rFonts w:ascii="Inter" w:cs="Inter" w:eastAsia="Inter" w:hAnsi="Inter"/>
          <w:color w:val="475569"/>
          <w:sz w:val="22"/>
          <w:szCs w:val="22"/>
        </w:rPr>
        <w:t xml:space="preserve">Structured networking helps new hires find their footing up to 40% faster</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One firm, not many: </w:t>
      </w:r>
      <w:r>
        <w:rPr>
          <w:rFonts w:ascii="Inter" w:cs="Inter" w:eastAsia="Inter" w:hAnsi="Inter"/>
          <w:color w:val="475569"/>
          <w:sz w:val="22"/>
          <w:szCs w:val="22"/>
        </w:rPr>
        <w:t xml:space="preserve">Bridge the quiet gaps between offices, practice groups, and generations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Spark the unexpected: </w:t>
      </w:r>
      <w:r>
        <w:rPr>
          <w:rFonts w:ascii="Inter" w:cs="Inter" w:eastAsia="Inter" w:hAnsi="Inter"/>
          <w:color w:val="475569"/>
          <w:sz w:val="22"/>
          <w:szCs w:val="22"/>
        </w:rPr>
        <w:t xml:space="preserve">Chance connections are where new service offerings and ideas are born</w:t>
      </w:r>
    </w:p>
    <w:p>
      <w:r>
        <w:br w:type="page"/>
      </w:r>
    </w:p>
    <w:p>
      <w:pPr>
        <w:pStyle w:val="Heading1"/>
      </w:pPr>
      <w:r>
        <w:t xml:space="preserve">Phase 1: Assessment &amp; Planning</w:t>
      </w:r>
    </w:p>
    <w:p>
      <w:pPr>
        <w:pStyle w:val="Heading3"/>
      </w:pPr>
      <w:r>
        <w:t xml:space="preserve">Know your starting line before you run</w:t>
      </w:r>
    </w:p>
    <w:p>
      <w:pPr>
        <w:pStyle w:val="Heading2"/>
      </w:pPr>
      <w:r>
        <w:t xml:space="preserve">1.1  Current State Analysis</w:t>
      </w:r>
    </w:p>
    <w:p>
      <w:r>
        <w:t xml:space="preserve">You can’t show progress if you never measured the starting point. A few honest answers now will shape your goals and give you a baseline to celebrate against later.</w:t>
      </w:r>
    </w:p>
    <w:p>
      <w:r>
        <w:t xml:space="preserve">Ask yourself:</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How do lawyers currently meet colleagues outside their immediate team?</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What percentage of lawyers could name 5+ colleagues in other practice groups?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When did you last see organic cross-practice collaboration emerge?</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What’s your current attrition rate, especially for mid-level associates?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How connected do remote and hybrid workers feel to the firm culture?</w:t>
      </w:r>
    </w:p>
    <w:p>
      <w:pPr>
        <w:pStyle w:val="Heading2"/>
      </w:pPr>
      <w:r>
        <w:t xml:space="preserve">1.2  Goal Setting Framework</w:t>
      </w:r>
    </w:p>
    <w:p>
      <w:r>
        <w:t xml:space="preserve">"Improve networking" is a wish, not a goal — and wishes are impossible to defend at a partner meeting. Set targets that are specific, measurable, and time-bound, so success is obvious to everyone.</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spacing w:after="40"/>
              <w:jc w:val="left"/>
            </w:pPr>
            <w:r>
              <w:rPr>
                <w:rFonts w:ascii="Outfit" w:cs="Outfit" w:eastAsia="Outfit" w:hAnsi="Outfit"/>
                <w:b/>
                <w:bCs/>
                <w:caps/>
                <w:color w:val="64748B"/>
                <w:spacing w:val="30"/>
                <w:sz w:val="16"/>
                <w:szCs w:val="16"/>
              </w:rPr>
              <w:t xml:space="preserve">EXAMPLE GOALS</w:t>
            </w:r>
          </w:p>
          <w:p>
            <w:pPr>
              <w:jc w:val="left"/>
            </w:pPr>
            <w:r>
              <w:rPr>
                <w:rFonts w:ascii="Inter" w:cs="Inter" w:eastAsia="Inter" w:hAnsi="Inter"/>
                <w:color w:val="334155"/>
                <w:sz w:val="22"/>
                <w:szCs w:val="22"/>
              </w:rPr>
              <w:t xml:space="preserve">• 80% of lawyers complete at least one coffee chat per quarter within 6 months
• Cross-practice referrals increase by 25% year-over-year
• New hire "connectedness" scores improve from 3.2 to 4.5 on annual survey</w:t>
            </w:r>
          </w:p>
        </w:tc>
      </w:tr>
    </w:tbl>
    <w:p>
      <w:pPr>
        <w:pStyle w:val="Heading2"/>
      </w:pPr>
      <w:r>
        <w:t xml:space="preserve">1.3  Resource Requirements</w:t>
      </w:r>
    </w:p>
    <w:p>
      <w:r>
        <w:t xml:space="preserve">Coffee &amp; Law carries almost no overhead — the platform does the heavy lifting. What it does need is a little human attention to give it momentum:</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Program Champion: </w:t>
      </w:r>
      <w:r>
        <w:rPr>
          <w:rFonts w:ascii="Inter" w:cs="Inter" w:eastAsia="Inter" w:hAnsi="Inter"/>
          <w:color w:val="475569"/>
          <w:sz w:val="22"/>
          <w:szCs w:val="22"/>
        </w:rPr>
        <w:t xml:space="preserve">2-4 hours/week for coordination and advocacy</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Executive Sponsor: </w:t>
      </w:r>
      <w:r>
        <w:rPr>
          <w:rFonts w:ascii="Inter" w:cs="Inter" w:eastAsia="Inter" w:hAnsi="Inter"/>
          <w:color w:val="475569"/>
          <w:sz w:val="22"/>
          <w:szCs w:val="22"/>
        </w:rPr>
        <w:t xml:space="preserve">Visible support from leadership (minimal time, maximum impact)</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Technical Setup: </w:t>
      </w:r>
      <w:r>
        <w:rPr>
          <w:rFonts w:ascii="Inter" w:cs="Inter" w:eastAsia="Inter" w:hAnsi="Inter"/>
          <w:color w:val="475569"/>
          <w:sz w:val="22"/>
          <w:szCs w:val="22"/>
        </w:rPr>
        <w:t xml:space="preserve">1-2 hours initial configuration</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Communications: </w:t>
      </w:r>
      <w:r>
        <w:rPr>
          <w:rFonts w:ascii="Inter" w:cs="Inter" w:eastAsia="Inter" w:hAnsi="Inter"/>
          <w:color w:val="475569"/>
          <w:sz w:val="22"/>
          <w:szCs w:val="22"/>
        </w:rPr>
        <w:t xml:space="preserve">Initial launch campaign + monthly nudges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Budget: </w:t>
      </w:r>
      <w:r>
        <w:rPr>
          <w:rFonts w:ascii="Inter" w:cs="Inter" w:eastAsia="Inter" w:hAnsi="Inter"/>
          <w:color w:val="475569"/>
          <w:sz w:val="22"/>
          <w:szCs w:val="22"/>
        </w:rPr>
        <w:t xml:space="preserve">Primarily platform costs; optional coffee vouchers for encouragement</w:t>
      </w:r>
    </w:p>
    <w:p>
      <w:r>
        <w:br w:type="page"/>
      </w:r>
    </w:p>
    <w:p>
      <w:pPr>
        <w:pStyle w:val="Heading1"/>
      </w:pPr>
      <w:r>
        <w:t xml:space="preserve">Phase 2: Stakeholder Buy-In</w:t>
      </w:r>
    </w:p>
    <w:p>
      <w:pPr>
        <w:pStyle w:val="Heading3"/>
      </w:pPr>
      <w:r>
        <w:t xml:space="preserve">Get the right people nodding before you launch</w:t>
      </w:r>
    </w:p>
    <w:p>
      <w:pPr>
        <w:pStyle w:val="Heading2"/>
      </w:pPr>
      <w:r>
        <w:t xml:space="preserve">2.1  Key Stakeholders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Managing Partner / CEO: </w:t>
      </w:r>
      <w:r>
        <w:rPr>
          <w:rFonts w:ascii="Inter" w:cs="Inter" w:eastAsia="Inter" w:hAnsi="Inter"/>
          <w:color w:val="475569"/>
          <w:sz w:val="22"/>
          <w:szCs w:val="22"/>
        </w:rPr>
        <w:t xml:space="preserve">Ultimate authority and visible sponsor</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HR / Talent Development: </w:t>
      </w:r>
      <w:r>
        <w:rPr>
          <w:rFonts w:ascii="Inter" w:cs="Inter" w:eastAsia="Inter" w:hAnsi="Inter"/>
          <w:color w:val="475569"/>
          <w:sz w:val="22"/>
          <w:szCs w:val="22"/>
        </w:rPr>
        <w:t xml:space="preserve">Day-to-day administration and integration</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Practice Group Leaders: </w:t>
      </w:r>
      <w:r>
        <w:rPr>
          <w:rFonts w:ascii="Inter" w:cs="Inter" w:eastAsia="Inter" w:hAnsi="Inter"/>
          <w:color w:val="475569"/>
          <w:sz w:val="22"/>
          <w:szCs w:val="22"/>
        </w:rPr>
        <w:t xml:space="preserve">Encourage participation within their teams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IT Leadership: </w:t>
      </w:r>
      <w:r>
        <w:rPr>
          <w:rFonts w:ascii="Inter" w:cs="Inter" w:eastAsia="Inter" w:hAnsi="Inter"/>
          <w:color w:val="475569"/>
          <w:sz w:val="22"/>
          <w:szCs w:val="22"/>
        </w:rPr>
        <w:t xml:space="preserve">Security review and technical integration</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Associates Committee: </w:t>
      </w:r>
      <w:r>
        <w:rPr>
          <w:rFonts w:ascii="Inter" w:cs="Inter" w:eastAsia="Inter" w:hAnsi="Inter"/>
          <w:color w:val="475569"/>
          <w:sz w:val="22"/>
          <w:szCs w:val="22"/>
        </w:rPr>
        <w:t xml:space="preserve">Early adopter champions and feedback loop</w:t>
      </w:r>
    </w:p>
    <w:p>
      <w:pPr>
        <w:pStyle w:val="Heading2"/>
      </w:pPr>
      <w:r>
        <w:t xml:space="preserve">2.2  Messaging by Audience</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spacing w:after="40"/>
              <w:jc w:val="left"/>
            </w:pPr>
            <w:r>
              <w:rPr>
                <w:rFonts w:ascii="Outfit" w:cs="Outfit" w:eastAsia="Outfit" w:hAnsi="Outfit"/>
                <w:b/>
                <w:bCs/>
                <w:caps/>
                <w:color w:val="64748B"/>
                <w:spacing w:val="30"/>
                <w:sz w:val="16"/>
                <w:szCs w:val="16"/>
              </w:rPr>
              <w:t xml:space="preserve">FOR PARTNERS</w:t>
            </w:r>
          </w:p>
          <w:p>
            <w:pPr>
              <w:jc w:val="left"/>
            </w:pPr>
            <w:r>
              <w:rPr>
                <w:rFonts w:ascii="Inter" w:cs="Inter" w:eastAsia="Inter" w:hAnsi="Inter"/>
                <w:color w:val="334155"/>
                <w:sz w:val="22"/>
                <w:szCs w:val="22"/>
              </w:rPr>
              <w:t xml:space="preserve">Focus on retention, cross-selling, and cultural cohesion. Emphasize that connected lawyers are productive lawyers.</w:t>
            </w:r>
          </w:p>
        </w:tc>
      </w:tr>
    </w:tbl>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spacing w:after="40"/>
              <w:jc w:val="left"/>
            </w:pPr>
            <w:r>
              <w:rPr>
                <w:rFonts w:ascii="Outfit" w:cs="Outfit" w:eastAsia="Outfit" w:hAnsi="Outfit"/>
                <w:b/>
                <w:bCs/>
                <w:caps/>
                <w:color w:val="64748B"/>
                <w:spacing w:val="30"/>
                <w:sz w:val="16"/>
                <w:szCs w:val="16"/>
              </w:rPr>
              <w:t xml:space="preserve">FOR ASSOCIATES</w:t>
            </w:r>
          </w:p>
          <w:p>
            <w:pPr>
              <w:jc w:val="left"/>
            </w:pPr>
            <w:r>
              <w:rPr>
                <w:rFonts w:ascii="Inter" w:cs="Inter" w:eastAsia="Inter" w:hAnsi="Inter"/>
                <w:color w:val="334155"/>
                <w:sz w:val="22"/>
                <w:szCs w:val="22"/>
              </w:rPr>
              <w:t xml:space="preserve">Highlight career development, mentorship access, and breaking out of practice group silos. Make it about their growth.</w:t>
            </w:r>
          </w:p>
        </w:tc>
      </w:tr>
    </w:tbl>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spacing w:after="40"/>
              <w:jc w:val="left"/>
            </w:pPr>
            <w:r>
              <w:rPr>
                <w:rFonts w:ascii="Outfit" w:cs="Outfit" w:eastAsia="Outfit" w:hAnsi="Outfit"/>
                <w:b/>
                <w:bCs/>
                <w:caps/>
                <w:color w:val="64748B"/>
                <w:spacing w:val="30"/>
                <w:sz w:val="16"/>
                <w:szCs w:val="16"/>
              </w:rPr>
              <w:t xml:space="preserve">FOR HR</w:t>
            </w:r>
          </w:p>
          <w:p>
            <w:pPr>
              <w:jc w:val="left"/>
            </w:pPr>
            <w:r>
              <w:rPr>
                <w:rFonts w:ascii="Inter" w:cs="Inter" w:eastAsia="Inter" w:hAnsi="Inter"/>
                <w:color w:val="334155"/>
                <w:sz w:val="22"/>
                <w:szCs w:val="22"/>
              </w:rPr>
              <w:t xml:space="preserve">Stress integration with existing onboarding, culture initiatives, and DEI programs. Position as force multiplier for their work.</w:t>
            </w:r>
          </w:p>
        </w:tc>
      </w:tr>
    </w:tbl>
    <w:p>
      <w:r>
        <w:br w:type="page"/>
      </w:r>
    </w:p>
    <w:p>
      <w:pPr>
        <w:pStyle w:val="Heading1"/>
      </w:pPr>
      <w:r>
        <w:t xml:space="preserve">Phase 3: Technical Setup</w:t>
      </w:r>
    </w:p>
    <w:p>
      <w:pPr>
        <w:pStyle w:val="Heading3"/>
      </w:pPr>
      <w:r>
        <w:t xml:space="preserve">Up and running in an afternoon</w:t>
      </w:r>
    </w:p>
    <w:p>
      <w:pPr>
        <w:pStyle w:val="Heading2"/>
      </w:pPr>
      <w:r>
        <w:t xml:space="preserve">3.1  Initial Configuration</w:t>
      </w:r>
    </w:p>
    <w:p>
      <w:pPr>
        <w:spacing w:after="100" w:line="300"/>
        <w:ind w:left="360" w:hanging="360"/>
        <w:jc w:val="left"/>
      </w:pPr>
      <w:r>
        <w:rPr>
          <w:rFonts w:ascii="Outfit" w:cs="Outfit" w:eastAsia="Outfit" w:hAnsi="Outfit"/>
          <w:b/>
          <w:bCs/>
          <w:color w:val="334155"/>
          <w:sz w:val="22"/>
          <w:szCs w:val="22"/>
        </w:rPr>
        <w:t xml:space="preserve">1.  </w:t>
      </w:r>
      <w:r>
        <w:rPr>
          <w:rFonts w:ascii="Inter" w:cs="Inter" w:eastAsia="Inter" w:hAnsi="Inter"/>
          <w:color w:val="475569"/>
          <w:sz w:val="22"/>
          <w:szCs w:val="22"/>
        </w:rPr>
        <w:t xml:space="preserve">Set up your firm account at https://www.coffee-and-law.com</w:t>
      </w:r>
    </w:p>
    <w:p>
      <w:pPr>
        <w:spacing w:after="100" w:line="300"/>
        <w:ind w:left="360" w:hanging="360"/>
        <w:jc w:val="left"/>
      </w:pPr>
      <w:r>
        <w:rPr>
          <w:rFonts w:ascii="Outfit" w:cs="Outfit" w:eastAsia="Outfit" w:hAnsi="Outfit"/>
          <w:b/>
          <w:bCs/>
          <w:color w:val="334155"/>
          <w:sz w:val="22"/>
          <w:szCs w:val="22"/>
        </w:rPr>
        <w:t xml:space="preserve">2.  </w:t>
      </w:r>
      <w:r>
        <w:rPr>
          <w:rFonts w:ascii="Inter" w:cs="Inter" w:eastAsia="Inter" w:hAnsi="Inter"/>
          <w:color w:val="475569"/>
          <w:sz w:val="22"/>
          <w:szCs w:val="22"/>
        </w:rPr>
        <w:t xml:space="preserve">Upload your lawyer roster (CSV or manual entry)</w:t>
      </w:r>
    </w:p>
    <w:p>
      <w:pPr>
        <w:spacing w:after="100" w:line="300"/>
        <w:ind w:left="360" w:hanging="360"/>
        <w:jc w:val="left"/>
      </w:pPr>
      <w:r>
        <w:rPr>
          <w:rFonts w:ascii="Outfit" w:cs="Outfit" w:eastAsia="Outfit" w:hAnsi="Outfit"/>
          <w:b/>
          <w:bCs/>
          <w:color w:val="334155"/>
          <w:sz w:val="22"/>
          <w:szCs w:val="22"/>
        </w:rPr>
        <w:t xml:space="preserve">3.  </w:t>
      </w:r>
      <w:r>
        <w:rPr>
          <w:rFonts w:ascii="Inter" w:cs="Inter" w:eastAsia="Inter" w:hAnsi="Inter"/>
          <w:color w:val="475569"/>
          <w:sz w:val="22"/>
          <w:szCs w:val="22"/>
        </w:rPr>
        <w:t xml:space="preserve">Configure matching preferences (cross-office, cross-practice, seniority mixing)</w:t>
      </w:r>
    </w:p>
    <w:p>
      <w:pPr>
        <w:spacing w:after="100" w:line="300"/>
        <w:ind w:left="360" w:hanging="360"/>
        <w:jc w:val="left"/>
      </w:pPr>
      <w:r>
        <w:rPr>
          <w:rFonts w:ascii="Outfit" w:cs="Outfit" w:eastAsia="Outfit" w:hAnsi="Outfit"/>
          <w:b/>
          <w:bCs/>
          <w:color w:val="334155"/>
          <w:sz w:val="22"/>
          <w:szCs w:val="22"/>
        </w:rPr>
        <w:t xml:space="preserve">4.  </w:t>
      </w:r>
      <w:r>
        <w:rPr>
          <w:rFonts w:ascii="Inter" w:cs="Inter" w:eastAsia="Inter" w:hAnsi="Inter"/>
          <w:color w:val="475569"/>
          <w:sz w:val="22"/>
          <w:szCs w:val="22"/>
        </w:rPr>
        <w:t xml:space="preserve">Set your roulette schedule (weekly, bi-weekly, monthly)</w:t>
      </w:r>
    </w:p>
    <w:p>
      <w:pPr>
        <w:spacing w:after="100" w:line="300"/>
        <w:ind w:left="360" w:hanging="360"/>
        <w:jc w:val="left"/>
      </w:pPr>
      <w:r>
        <w:rPr>
          <w:rFonts w:ascii="Outfit" w:cs="Outfit" w:eastAsia="Outfit" w:hAnsi="Outfit"/>
          <w:b/>
          <w:bCs/>
          <w:color w:val="334155"/>
          <w:sz w:val="22"/>
          <w:szCs w:val="22"/>
        </w:rPr>
        <w:t xml:space="preserve">5.  </w:t>
      </w:r>
      <w:r>
        <w:rPr>
          <w:rFonts w:ascii="Inter" w:cs="Inter" w:eastAsia="Inter" w:hAnsi="Inter"/>
          <w:color w:val="475569"/>
          <w:sz w:val="22"/>
          <w:szCs w:val="22"/>
        </w:rPr>
        <w:t xml:space="preserve">Customize email templates with your firm’s tone</w:t>
      </w:r>
    </w:p>
    <w:p>
      <w:pPr>
        <w:pStyle w:val="Heading2"/>
      </w:pPr>
      <w:r>
        <w:t xml:space="preserve">3.2  Integration Options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Calendar integration: </w:t>
      </w:r>
      <w:r>
        <w:rPr>
          <w:rFonts w:ascii="Inter" w:cs="Inter" w:eastAsia="Inter" w:hAnsi="Inter"/>
          <w:color w:val="475569"/>
          <w:sz w:val="22"/>
          <w:szCs w:val="22"/>
        </w:rPr>
        <w:t xml:space="preserve">Sync with Outlook/Google Calendar for availability</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SSO: </w:t>
      </w:r>
      <w:r>
        <w:rPr>
          <w:rFonts w:ascii="Inter" w:cs="Inter" w:eastAsia="Inter" w:hAnsi="Inter"/>
          <w:color w:val="475569"/>
          <w:sz w:val="22"/>
          <w:szCs w:val="22"/>
        </w:rPr>
        <w:t xml:space="preserve">Connect with your firm’s identity provider for seamless login</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HRIS: </w:t>
      </w:r>
      <w:r>
        <w:rPr>
          <w:rFonts w:ascii="Inter" w:cs="Inter" w:eastAsia="Inter" w:hAnsi="Inter"/>
          <w:color w:val="475569"/>
          <w:sz w:val="22"/>
          <w:szCs w:val="22"/>
        </w:rPr>
        <w:t xml:space="preserve">Auto-sync lawyer data from your HR system</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Teams/Slack: </w:t>
      </w:r>
      <w:r>
        <w:rPr>
          <w:rFonts w:ascii="Inter" w:cs="Inter" w:eastAsia="Inter" w:hAnsi="Inter"/>
          <w:color w:val="475569"/>
          <w:sz w:val="22"/>
          <w:szCs w:val="22"/>
        </w:rPr>
        <w:t xml:space="preserve">Notifications in your existing communication channels</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spacing w:after="40"/>
              <w:jc w:val="left"/>
            </w:pPr>
            <w:r>
              <w:rPr>
                <w:rFonts w:ascii="Outfit" w:cs="Outfit" w:eastAsia="Outfit" w:hAnsi="Outfit"/>
                <w:b/>
                <w:bCs/>
                <w:caps/>
                <w:color w:val="64748B"/>
                <w:spacing w:val="30"/>
                <w:sz w:val="16"/>
                <w:szCs w:val="16"/>
              </w:rPr>
              <w:t xml:space="preserve">SECURITY NOTE</w:t>
            </w:r>
          </w:p>
          <w:p>
            <w:pPr>
              <w:jc w:val="left"/>
            </w:pPr>
            <w:r>
              <w:rPr>
                <w:rFonts w:ascii="Inter" w:cs="Inter" w:eastAsia="Inter" w:hAnsi="Inter"/>
                <w:color w:val="334155"/>
                <w:sz w:val="22"/>
                <w:szCs w:val="22"/>
              </w:rPr>
              <w:t xml:space="preserve">Coffee &amp; Law is built with law firm security requirements in mind. All data is encrypted, we’re SOC 2 Type II compliant, and we never share firm data with third parties.</w:t>
            </w:r>
          </w:p>
        </w:tc>
      </w:tr>
    </w:tbl>
    <w:p>
      <w:r>
        <w:br w:type="page"/>
      </w:r>
    </w:p>
    <w:p>
      <w:pPr>
        <w:pStyle w:val="Heading1"/>
      </w:pPr>
      <w:r>
        <w:t xml:space="preserve">Phase 4: Launch Strategy</w:t>
      </w:r>
    </w:p>
    <w:p>
      <w:pPr>
        <w:pStyle w:val="Heading3"/>
      </w:pPr>
      <w:r>
        <w:t xml:space="preserve">A first impression worth talking about</w:t>
      </w:r>
    </w:p>
    <w:p>
      <w:pPr>
        <w:pStyle w:val="Heading2"/>
      </w:pPr>
      <w:r>
        <w:t xml:space="preserve">4.1  Pre-Launch Checklist</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All lawyers uploaded to platform</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Matching preferences configured</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Email templates customized and approved</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Champions identified and briefed</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Leadership announcement scheduled</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Launch communications prepared</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Success metrics defined</w:t>
      </w:r>
    </w:p>
    <w:p>
      <w:pPr>
        <w:pStyle w:val="Heading2"/>
      </w:pPr>
      <w:r>
        <w:t xml:space="preserve">4.2  Launch Week Timeline</w:t>
      </w:r>
    </w:p>
    <w:p>
      <w:pPr>
        <w:spacing w:after="100" w:line="300"/>
        <w:ind w:left="360" w:hanging="360"/>
        <w:jc w:val="left"/>
      </w:pPr>
      <w:r>
        <w:rPr>
          <w:rFonts w:ascii="Outfit" w:cs="Outfit" w:eastAsia="Outfit" w:hAnsi="Outfit"/>
          <w:b/>
          <w:bCs/>
          <w:color w:val="334155"/>
          <w:sz w:val="22"/>
          <w:szCs w:val="22"/>
        </w:rPr>
        <w:t xml:space="preserve">1.  </w:t>
      </w:r>
      <w:r>
        <w:rPr>
          <w:rFonts w:ascii="Inter" w:cs="Inter" w:eastAsia="Inter" w:hAnsi="Inter"/>
          <w:color w:val="475569"/>
          <w:sz w:val="22"/>
          <w:szCs w:val="22"/>
        </w:rPr>
        <w:t xml:space="preserve">Day 1: Leadership announcement email</w:t>
      </w:r>
    </w:p>
    <w:p>
      <w:pPr>
        <w:spacing w:after="100" w:line="300"/>
        <w:ind w:left="360" w:hanging="360"/>
        <w:jc w:val="left"/>
      </w:pPr>
      <w:r>
        <w:rPr>
          <w:rFonts w:ascii="Outfit" w:cs="Outfit" w:eastAsia="Outfit" w:hAnsi="Outfit"/>
          <w:b/>
          <w:bCs/>
          <w:color w:val="334155"/>
          <w:sz w:val="22"/>
          <w:szCs w:val="22"/>
        </w:rPr>
        <w:t xml:space="preserve">2.  </w:t>
      </w:r>
      <w:r>
        <w:rPr>
          <w:rFonts w:ascii="Inter" w:cs="Inter" w:eastAsia="Inter" w:hAnsi="Inter"/>
          <w:color w:val="475569"/>
          <w:sz w:val="22"/>
          <w:szCs w:val="22"/>
        </w:rPr>
        <w:t xml:space="preserve">Day 2: First matches sent out</w:t>
      </w:r>
    </w:p>
    <w:p>
      <w:pPr>
        <w:spacing w:after="100" w:line="300"/>
        <w:ind w:left="360" w:hanging="360"/>
        <w:jc w:val="left"/>
      </w:pPr>
      <w:r>
        <w:rPr>
          <w:rFonts w:ascii="Outfit" w:cs="Outfit" w:eastAsia="Outfit" w:hAnsi="Outfit"/>
          <w:b/>
          <w:bCs/>
          <w:color w:val="334155"/>
          <w:sz w:val="22"/>
          <w:szCs w:val="22"/>
        </w:rPr>
        <w:t xml:space="preserve">3.  </w:t>
      </w:r>
      <w:r>
        <w:rPr>
          <w:rFonts w:ascii="Inter" w:cs="Inter" w:eastAsia="Inter" w:hAnsi="Inter"/>
          <w:color w:val="475569"/>
          <w:sz w:val="22"/>
          <w:szCs w:val="22"/>
        </w:rPr>
        <w:t xml:space="preserve">Day 3: Champions share personal testimonials</w:t>
      </w:r>
    </w:p>
    <w:p>
      <w:pPr>
        <w:spacing w:after="100" w:line="300"/>
        <w:ind w:left="360" w:hanging="360"/>
        <w:jc w:val="left"/>
      </w:pPr>
      <w:r>
        <w:rPr>
          <w:rFonts w:ascii="Outfit" w:cs="Outfit" w:eastAsia="Outfit" w:hAnsi="Outfit"/>
          <w:b/>
          <w:bCs/>
          <w:color w:val="334155"/>
          <w:sz w:val="22"/>
          <w:szCs w:val="22"/>
        </w:rPr>
        <w:t xml:space="preserve">4.  </w:t>
      </w:r>
      <w:r>
        <w:rPr>
          <w:rFonts w:ascii="Inter" w:cs="Inter" w:eastAsia="Inter" w:hAnsi="Inter"/>
          <w:color w:val="475569"/>
          <w:sz w:val="22"/>
          <w:szCs w:val="22"/>
        </w:rPr>
        <w:t xml:space="preserve">Day 4: Reminder for those who haven’t responded</w:t>
      </w:r>
    </w:p>
    <w:p>
      <w:pPr>
        <w:spacing w:after="100" w:line="300"/>
        <w:ind w:left="360" w:hanging="360"/>
        <w:jc w:val="left"/>
      </w:pPr>
      <w:r>
        <w:rPr>
          <w:rFonts w:ascii="Outfit" w:cs="Outfit" w:eastAsia="Outfit" w:hAnsi="Outfit"/>
          <w:b/>
          <w:bCs/>
          <w:color w:val="334155"/>
          <w:sz w:val="22"/>
          <w:szCs w:val="22"/>
        </w:rPr>
        <w:t xml:space="preserve">5.  </w:t>
      </w:r>
      <w:r>
        <w:rPr>
          <w:rFonts w:ascii="Inter" w:cs="Inter" w:eastAsia="Inter" w:hAnsi="Inter"/>
          <w:color w:val="475569"/>
          <w:sz w:val="22"/>
          <w:szCs w:val="22"/>
        </w:rPr>
        <w:t xml:space="preserve">Day 5: Share early success stories</w:t>
      </w:r>
    </w:p>
    <w:p>
      <w:pPr>
        <w:pStyle w:val="Heading2"/>
      </w:pPr>
      <w:r>
        <w:t xml:space="preserve">4.3  Launch Communication Template</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spacing w:after="40"/>
              <w:jc w:val="left"/>
            </w:pPr>
            <w:r>
              <w:rPr>
                <w:rFonts w:ascii="Outfit" w:cs="Outfit" w:eastAsia="Outfit" w:hAnsi="Outfit"/>
                <w:b/>
                <w:bCs/>
                <w:caps/>
                <w:color w:val="64748B"/>
                <w:spacing w:val="30"/>
                <w:sz w:val="16"/>
                <w:szCs w:val="16"/>
              </w:rPr>
              <w:t xml:space="preserve">SAMPLE LAUNCH EMAIL</w:t>
            </w:r>
          </w:p>
          <w:p>
            <w:pPr>
              <w:jc w:val="left"/>
            </w:pPr>
            <w:r>
              <w:rPr>
                <w:rFonts w:ascii="Inter" w:cs="Inter" w:eastAsia="Inter" w:hAnsi="Inter"/>
                <w:color w:val="334155"/>
                <w:sz w:val="22"/>
                <w:szCs w:val="22"/>
              </w:rPr>
              <w:t xml:space="preserve">Starting today, you’ll be paired with a colleague from another corner of the firm for a casual coffee chat — someone you might never have crossed paths with otherwise. It takes fifteen minutes, it’s genuinely good fun, and it’s how the best collaborations tend to start. Your first match is on its way to your inbox.</w:t>
            </w:r>
          </w:p>
        </w:tc>
      </w:tr>
    </w:tbl>
    <w:p>
      <w:r>
        <w:br w:type="page"/>
      </w:r>
    </w:p>
    <w:p>
      <w:pPr>
        <w:pStyle w:val="Heading1"/>
      </w:pPr>
      <w:r>
        <w:t xml:space="preserve">Phase 5: Engagement &amp; Growth</w:t>
      </w:r>
    </w:p>
    <w:p>
      <w:pPr>
        <w:pStyle w:val="Heading3"/>
      </w:pPr>
      <w:r>
        <w:t xml:space="preserve">Turn a launch into a habit</w:t>
      </w:r>
    </w:p>
    <w:p>
      <w:pPr>
        <w:pStyle w:val="Heading2"/>
      </w:pPr>
      <w:r>
        <w:t xml:space="preserve">5.1  Weekly Maintenance</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Review participation metrics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Send gentle nudges to unresponsive matches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Highlight a success story in firm communications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Address any technical issues promptly</w:t>
      </w:r>
    </w:p>
    <w:p>
      <w:pPr>
        <w:pStyle w:val="Heading2"/>
      </w:pPr>
      <w:r>
        <w:t xml:space="preserve">5.2  Monthly Activities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Report to leadership on participation and trends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Gather and share testimonials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Adjust matching parameters based on feedback</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Recognize most active participants</w:t>
      </w:r>
    </w:p>
    <w:p>
      <w:pPr>
        <w:pStyle w:val="Heading2"/>
      </w:pPr>
      <w:r>
        <w:t xml:space="preserve">5.3  Quarterly Reviews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Deep-dive analytics on connection patterns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Survey participants for qualitative feedback</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Identify and address participation gaps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Plan special themed roulettes (e.g., new hires, cross-office)</w:t>
      </w:r>
    </w:p>
    <w:p>
      <w:r>
        <w:br w:type="page"/>
      </w:r>
    </w:p>
    <w:p>
      <w:pPr>
        <w:pStyle w:val="Heading1"/>
      </w:pPr>
      <w:r>
        <w:t xml:space="preserve">Phase 6: Measurement &amp; ROI</w:t>
      </w:r>
    </w:p>
    <w:p>
      <w:pPr>
        <w:pStyle w:val="Heading3"/>
      </w:pPr>
      <w:r>
        <w:t xml:space="preserve">Show the number that makes it undeniable</w:t>
      </w:r>
    </w:p>
    <w:p>
      <w:pPr>
        <w:pStyle w:val="Heading2"/>
      </w:pPr>
      <w:r>
        <w:t xml:space="preserve">6.1  Key Metrics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Participation rate: </w:t>
      </w:r>
      <w:r>
        <w:rPr>
          <w:rFonts w:ascii="Inter" w:cs="Inter" w:eastAsia="Inter" w:hAnsi="Inter"/>
          <w:color w:val="475569"/>
          <w:sz w:val="22"/>
          <w:szCs w:val="22"/>
        </w:rPr>
        <w:t xml:space="preserve">% of lawyers completing matches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Repeat engagement: </w:t>
      </w:r>
      <w:r>
        <w:rPr>
          <w:rFonts w:ascii="Inter" w:cs="Inter" w:eastAsia="Inter" w:hAnsi="Inter"/>
          <w:color w:val="475569"/>
          <w:sz w:val="22"/>
          <w:szCs w:val="22"/>
        </w:rPr>
        <w:t xml:space="preserve">% returning for multiple roulettes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Network density: </w:t>
      </w:r>
      <w:r>
        <w:rPr>
          <w:rFonts w:ascii="Inter" w:cs="Inter" w:eastAsia="Inter" w:hAnsi="Inter"/>
          <w:color w:val="475569"/>
          <w:sz w:val="22"/>
          <w:szCs w:val="22"/>
        </w:rPr>
        <w:t xml:space="preserve">Average connections per lawyer</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Cross-practice connections: </w:t>
      </w:r>
      <w:r>
        <w:rPr>
          <w:rFonts w:ascii="Inter" w:cs="Inter" w:eastAsia="Inter" w:hAnsi="Inter"/>
          <w:color w:val="475569"/>
          <w:sz w:val="22"/>
          <w:szCs w:val="22"/>
        </w:rPr>
        <w:t xml:space="preserve">% of matches crossing practice groups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Satisfaction scores: </w:t>
      </w:r>
      <w:r>
        <w:rPr>
          <w:rFonts w:ascii="Inter" w:cs="Inter" w:eastAsia="Inter" w:hAnsi="Inter"/>
          <w:color w:val="475569"/>
          <w:sz w:val="22"/>
          <w:szCs w:val="22"/>
        </w:rPr>
        <w:t xml:space="preserve">Feedback from post-chat surveys</w:t>
      </w:r>
    </w:p>
    <w:p>
      <w:pPr>
        <w:pStyle w:val="Heading2"/>
      </w:pPr>
      <w:r>
        <w:t xml:space="preserve">6.2  ROI Framework</w:t>
      </w:r>
    </w:p>
    <w:p>
      <w:r>
        <w:t xml:space="preserve">Calculate the business impact of your networking program:</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Attrition cost savings: </w:t>
      </w:r>
      <w:r>
        <w:rPr>
          <w:rFonts w:ascii="Inter" w:cs="Inter" w:eastAsia="Inter" w:hAnsi="Inter"/>
          <w:color w:val="475569"/>
          <w:sz w:val="22"/>
          <w:szCs w:val="22"/>
        </w:rPr>
        <w:t xml:space="preserve">(Reduced departures) × (Cost per departure)</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Cross-selling value: </w:t>
      </w:r>
      <w:r>
        <w:rPr>
          <w:rFonts w:ascii="Inter" w:cs="Inter" w:eastAsia="Inter" w:hAnsi="Inter"/>
          <w:color w:val="475569"/>
          <w:sz w:val="22"/>
          <w:szCs w:val="22"/>
        </w:rPr>
        <w:t xml:space="preserve">(New referrals traced to connections) × (Average matter value)</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Integration acceleration: </w:t>
      </w:r>
      <w:r>
        <w:rPr>
          <w:rFonts w:ascii="Inter" w:cs="Inter" w:eastAsia="Inter" w:hAnsi="Inter"/>
          <w:color w:val="475569"/>
          <w:sz w:val="22"/>
          <w:szCs w:val="22"/>
        </w:rPr>
        <w:t xml:space="preserve">(Faster time-to-productivity) × (Hourly rate)</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Cultural value: </w:t>
      </w:r>
      <w:r>
        <w:rPr>
          <w:rFonts w:ascii="Inter" w:cs="Inter" w:eastAsia="Inter" w:hAnsi="Inter"/>
          <w:color w:val="475569"/>
          <w:sz w:val="22"/>
          <w:szCs w:val="22"/>
        </w:rPr>
        <w:t xml:space="preserve">Improvement in engagement survey scores</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spacing w:after="40"/>
              <w:jc w:val="left"/>
            </w:pPr>
            <w:r>
              <w:rPr>
                <w:rFonts w:ascii="Outfit" w:cs="Outfit" w:eastAsia="Outfit" w:hAnsi="Outfit"/>
                <w:b/>
                <w:bCs/>
                <w:caps/>
                <w:color w:val="64748B"/>
                <w:spacing w:val="30"/>
                <w:sz w:val="16"/>
                <w:szCs w:val="16"/>
              </w:rPr>
              <w:t xml:space="preserve">BENCHMARK DATA</w:t>
            </w:r>
          </w:p>
          <w:p>
            <w:pPr>
              <w:jc w:val="left"/>
            </w:pPr>
            <w:r>
              <w:rPr>
                <w:rFonts w:ascii="Inter" w:cs="Inter" w:eastAsia="Inter" w:hAnsi="Inter"/>
                <w:color w:val="334155"/>
                <w:sz w:val="22"/>
                <w:szCs w:val="22"/>
              </w:rPr>
              <w:t xml:space="preserve">Firms using Coffee &amp; Law report average 15% reduction in associate attrition and 20% increase in cross-practice referrals within 12 months.</w:t>
            </w:r>
          </w:p>
        </w:tc>
      </w:tr>
    </w:tbl>
    <w:p>
      <w:r>
        <w:br w:type="page"/>
      </w:r>
    </w:p>
    <w:p>
      <w:pPr>
        <w:pStyle w:val="Heading1"/>
      </w:pPr>
      <w:r>
        <w:t xml:space="preserve">Troubleshooting Guide</w:t>
      </w:r>
    </w:p>
    <w:p>
      <w:pPr>
        <w:pStyle w:val="Heading3"/>
      </w:pPr>
      <w:r>
        <w:t xml:space="preserve">When it stalls, here’s how to restart it</w:t>
      </w:r>
    </w:p>
    <w:p>
      <w:pPr>
        <w:pStyle w:val="Heading2"/>
      </w:pPr>
      <w:r>
        <w:t xml:space="preserve">Low Participation</w:t>
      </w:r>
    </w:p>
    <w:p>
      <w:r>
        <w:t xml:space="preserve">You’ll see it as: matches going unanswered, or invitations quietly declined.</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Ensure leadership is visibly participating</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Make the time expectation clear (just 15-30 minutes)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Remove friction: pre-schedule virtual options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Share success stories to create FOMO</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Consider incentives (coffee vouchers, recognition)</w:t>
      </w:r>
    </w:p>
    <w:p>
      <w:pPr>
        <w:pStyle w:val="Heading2"/>
      </w:pPr>
      <w:r>
        <w:t xml:space="preserve">Partner Resistance</w:t>
      </w:r>
    </w:p>
    <w:p>
      <w:r>
        <w:t xml:space="preserve">You’ll see it as: senior lawyers waving it off as "not for me."</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Frame as leadership development, not networking</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Highlight cross-selling opportunities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Get one respected partner to champion publicly</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Make it easy: virtual options, flexible scheduling</w:t>
      </w:r>
    </w:p>
    <w:p>
      <w:pPr>
        <w:pStyle w:val="Heading2"/>
      </w:pPr>
      <w:r>
        <w:t xml:space="preserve">Technical Issues</w:t>
      </w:r>
    </w:p>
    <w:p>
      <w:r>
        <w:t xml:space="preserve">You’ll see it as: emails not arriving, login trouble, or sync failures.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Check spam/junk folders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Whitelist https://www.coffee-and-law.com in email filters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Contact our support team for SSO issues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Verify HRIS sync is running correctly</w:t>
      </w:r>
    </w:p>
    <w:p>
      <w:r>
        <w:br w:type="page"/>
      </w:r>
    </w:p>
    <w:p>
      <w:pPr>
        <w:pStyle w:val="Heading1"/>
      </w:pPr>
      <w:r>
        <w:t xml:space="preserve">Templates &amp; Resources</w:t>
      </w:r>
    </w:p>
    <w:p>
      <w:pPr>
        <w:pStyle w:val="Heading3"/>
      </w:pPr>
      <w:r>
        <w:t xml:space="preserve">Steal these — they’re yours</w:t>
      </w:r>
    </w:p>
    <w:p>
      <w:pPr>
        <w:pStyle w:val="Heading2"/>
      </w:pPr>
      <w:r>
        <w:t xml:space="preserve">Communication Templates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Launch announcement email</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Match notification email</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Reminder for unresponsive participants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Monthly update to leadership</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Success story format</w:t>
      </w:r>
    </w:p>
    <w:p>
      <w:pPr>
        <w:pStyle w:val="Heading2"/>
      </w:pPr>
      <w:r>
        <w:t xml:space="preserve">Measurement Templates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Monthly participation dashboard</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Quarterly ROI calculator</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Participant satisfaction survey</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Annual impact report outline</w:t>
      </w:r>
    </w:p>
    <w:p>
      <w:pPr>
        <w:pStyle w:val="Heading2"/>
      </w:pPr>
      <w:r>
        <w:t xml:space="preserve">Training Materials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Admin quick-start guide</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Champion briefing deck</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Participant FAQ</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Video tutorial library</w:t>
      </w:r>
    </w:p>
    <w:sectPr>
      <w:headerReference w:type="default" r:id="rId6"/>
      <w:footerReference w:type="default" r:id="rId7"/>
      <w:pgSz w:w="11906" w:h="16838" w:orient="portrait"/>
      <w:pgMar w:top="1440" w:right="1080" w:bottom="1440" w:left="1080" w:header="0"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w="http://schemas.openxmlformats.org/wordprocessingml/2006/main" xmlns:r="http://schemas.openxmlformats.org/officeDocument/2006/relationships">
  <w:font w:name="Inter">
    <w:panose1 w:val="020B0604020202020204"/>
    <w:charset w:val="00"/>
    <w:family w:val="swiss"/>
    <w:pitch w:val="variable"/>
  </w:font>
  <w:font w:name="Outfit">
    <w:panose1 w:val="020B0604020202020204"/>
    <w:charset w:val="00"/>
    <w:family w:val="swiss"/>
    <w:pitch w:val="variable"/>
  </w:font>
  <w:font w:name="Playfair Display">
    <w:panose1 w:val="02040603050405020304"/>
    <w:charset w:val="00"/>
    <w:family w:val="roman"/>
    <w:pitch w:val="variable"/>
  </w:font>
  <w:font w:name="Consolas">
    <w:panose1 w:val="020B0609020204030204"/>
    <w:charset w:val="00"/>
    <w:family w:val="modern"/>
    <w:pitch w:val="fix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8F0" w:sz="4" w:space="8"/>
      </w:pBdr>
      <w:jc w:val="center"/>
    </w:pPr>
    <w:r>
      <w:rPr>
        <w:rFonts w:ascii="Inter" w:cs="Inter" w:eastAsia="Inter" w:hAnsi="Inter"/>
        <w:color w:val="94A3B8"/>
        <w:sz w:val="16"/>
        <w:szCs w:val="16"/>
      </w:rPr>
      <w:t xml:space="preserve">Coffee &amp; Law  ·  https://www.coffee-and-law.com  ·  Page </w:t>
    </w:r>
    <w:r>
      <w:rPr>
        <w:rFonts w:ascii="Inter" w:cs="Inter" w:eastAsia="Inter" w:hAnsi="Inter"/>
        <w:color w:val="94A3B8"/>
        <w:sz w:val="16"/>
        <w:szCs w:val="16"/>
      </w:rPr>
      <w:fldChar w:fldCharType="begin"/>
      <w:instrText xml:space="preserve">PAGE</w:instrText>
      <w:fldChar w:fldCharType="separate"/>
      <w:fldChar w:fldCharType="end"/>
    </w:r>
    <w:r>
      <w:rPr>
        <w:rFonts w:ascii="Inter" w:cs="Inter" w:eastAsia="Inter" w:hAnsi="Inter"/>
        <w:color w:val="94A3B8"/>
        <w:sz w:val="16"/>
        <w:szCs w:val="16"/>
      </w:rPr>
      <w:t xml:space="preserve"> of </w:t>
    </w:r>
    <w:r>
      <w:rPr>
        <w:rFonts w:ascii="Inter" w:cs="Inter" w:eastAsia="Inter" w:hAnsi="Inter"/>
        <w:color w:val="94A3B8"/>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1906"/>
      <w:tblInd w:type="dxa" w:w="-1080"/>
      <w:tblBorders>
        <w:top w:val="none" w:color="auto" w:sz="0"/>
        <w:left w:val="none" w:color="auto" w:sz="0"/>
        <w:bottom w:val="none" w:color="auto" w:sz="0"/>
        <w:right w:val="none" w:color="auto" w:sz="0"/>
        <w:insideH w:val="none" w:color="auto" w:sz="0"/>
        <w:insideV w:val="none" w:color="auto" w:sz="0"/>
      </w:tblBorders>
      <w:tblLayout w:type="fixed"/>
    </w:tblPr>
    <w:tblGrid>
      <w:gridCol w:w="1780"/>
      <w:gridCol w:w="10126"/>
    </w:tblGrid>
    <w:tr>
      <w:trPr>
        <w:trHeight w:val="780" w:hRule="exact"/>
      </w:trPr>
      <w:tc>
        <w:tcPr>
          <w:tcW w:type="dxa" w:w="1780"/>
          <w:tcBorders>
            <w:top w:val="none" w:color="auto" w:sz="0"/>
            <w:left w:val="none" w:color="auto" w:sz="0"/>
            <w:bottom w:val="none" w:color="auto" w:sz="0"/>
            <w:right w:val="none" w:color="auto" w:sz="0"/>
          </w:tcBorders>
          <w:shd w:fill="262E3F" w:color="auto" w:val="clear"/>
          <w:tcMar>
            <w:top w:type="dxa" w:w="0"/>
            <w:left w:type="dxa" w:w="1080"/>
            <w:bottom w:type="dxa" w:w="0"/>
            <w:right w:type="dxa" w:w="0"/>
          </w:tcMar>
          <w:vAlign w:val="center"/>
        </w:tcPr>
        <w:p>
          <w:pPr>
            <w:spacing w:before="0" w:after="0"/>
          </w:pPr>
          <w:r>
            <w:drawing>
              <wp:inline distT="0" distB="0" distL="0" distR="0">
                <wp:extent cx="266700" cy="266700"/>
                <wp:effectExtent t="0" r="0" b="0" l="0"/>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descr=""/>
                        <pic:cNvPicPr>
                          <a:picLocks noChangeAspect="1" noChangeArrowheads="1"/>
                        </pic:cNvPicPr>
                      </pic:nvPicPr>
                      <pic:blipFill>
                        <a:blip r:embed="rId0" cstate="none"/>
                        <a:srcRect/>
                        <a:stretch>
                          <a:fillRect/>
                        </a:stretch>
                      </pic:blipFill>
                      <pic:spPr bwMode="auto">
                        <a:xfrm>
                          <a:off x="0" y="0"/>
                          <a:ext cx="266700" cy="266700"/>
                        </a:xfrm>
                        <a:prstGeom prst="rect">
                          <a:avLst/>
                        </a:prstGeom>
                      </pic:spPr>
                    </pic:pic>
                  </a:graphicData>
                </a:graphic>
              </wp:inline>
            </w:drawing>
          </w:r>
        </w:p>
      </w:tc>
      <w:tc>
        <w:tcPr>
          <w:tcW w:type="dxa" w:w="10126"/>
          <w:tcBorders>
            <w:top w:val="none" w:color="auto" w:sz="0"/>
            <w:left w:val="none" w:color="auto" w:sz="0"/>
            <w:bottom w:val="none" w:color="auto" w:sz="0"/>
            <w:right w:val="none" w:color="auto" w:sz="0"/>
          </w:tcBorders>
          <w:shd w:fill="262E3F" w:color="auto" w:val="clear"/>
          <w:tcMar>
            <w:top w:type="dxa" w:w="0"/>
            <w:left w:type="dxa" w:w="90"/>
            <w:bottom w:type="dxa" w:w="0"/>
            <w:right w:type="dxa" w:w="1080"/>
          </w:tcMar>
          <w:vAlign w:val="center"/>
        </w:tcPr>
        <w:p>
          <w:pPr>
            <w:spacing w:before="0" w:after="0" w:line="240"/>
          </w:pPr>
          <w:r>
            <w:rPr>
              <w:rFonts w:ascii="Playfair Display" w:cs="Playfair Display" w:eastAsia="Playfair Display" w:hAnsi="Playfair Display"/>
              <w:b/>
              <w:bCs/>
              <w:color w:val="FFFFFF"/>
              <w:sz w:val="32"/>
              <w:szCs w:val="32"/>
            </w:rPr>
            <w:t xml:space="preserve">Coffee &amp; Law</w:t>
          </w:r>
        </w:p>
      </w:tc>
    </w:tr>
  </w:tbl>
  <w:p>
    <w:pPr>
      <w:spacing w:before="0" w:after="0" w:line="1"/>
    </w:pPr>
    <w:r>
      <w:drawing>
        <wp:anchor distT="0" distB="0" distL="0" distR="0" simplePos="0" allowOverlap="1" behindDoc="1" locked="0" layoutInCell="1" relativeHeight="10696575">
          <wp:simplePos x="0" y="0"/>
          <wp:positionH relativeFrom="page">
            <wp:align>center</wp:align>
          </wp:positionH>
          <wp:positionV relativeFrom="page">
            <wp:align>center</wp:align>
          </wp:positionV>
          <wp:extent cx="7562850" cy="10696575"/>
          <wp:effectExtent t="0" r="0" b="0" l="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descr=""/>
                  <pic:cNvPicPr>
                    <a:picLocks noChangeAspect="1" noChangeArrowheads="1"/>
                  </pic:cNvPicPr>
                </pic:nvPicPr>
                <pic:blipFill>
                  <a:blip r:embed="rId1" cstate="none"/>
                  <a:srcRect/>
                  <a:stretch>
                    <a:fillRect/>
                  </a:stretch>
                </pic:blipFill>
                <pic:spPr bwMode="auto">
                  <a:xfrm>
                    <a:off x="0" y="0"/>
                    <a:ext cx="7562850" cy="106965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autoHyphenation/>
  <w:doNotHyphenateCap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475569"/>
        <w:sz w:val="22"/>
        <w:szCs w:val="22"/>
      </w:rPr>
    </w:rPrDefault>
    <w:pPrDefault>
      <w:pPr>
        <w:spacing w:line="300"/>
        <w:jc w:val="both"/>
      </w:pPr>
    </w:pPrDefault>
  </w:docDefaults>
  <w:style w:type="paragraph" w:styleId="Title">
    <w:name w:val="Title"/>
    <w:basedOn w:val="Normal"/>
    <w:next w:val="Normal"/>
    <w:qFormat/>
    <w:pPr>
      <w:keepNext/>
      <w:keepLines/>
      <w:spacing w:after="160"/>
    </w:pPr>
    <w:rPr>
      <w:rFonts w:ascii="Playfair Display" w:cs="Playfair Display" w:eastAsia="Playfair Display" w:hAnsi="Playfair Display"/>
      <w:b/>
      <w:bCs/>
      <w:color w:val="0F172A"/>
      <w:sz w:val="56"/>
      <w:szCs w:val="56"/>
    </w:rPr>
  </w:style>
  <w:style w:type="paragraph" w:styleId="Heading1">
    <w:name w:val="Heading 1"/>
    <w:basedOn w:val="Normal"/>
    <w:next w:val="Normal"/>
    <w:qFormat/>
    <w:pPr>
      <w:keepNext/>
      <w:keepLines/>
      <w:spacing w:before="280" w:after="120"/>
    </w:pPr>
    <w:rPr>
      <w:rFonts w:ascii="Outfit" w:cs="Outfit" w:eastAsia="Outfit" w:hAnsi="Outfit"/>
      <w:b/>
      <w:bCs/>
      <w:color w:val="0F172A"/>
      <w:sz w:val="32"/>
      <w:szCs w:val="32"/>
    </w:rPr>
  </w:style>
  <w:style w:type="paragraph" w:styleId="Heading2">
    <w:name w:val="Heading 2"/>
    <w:basedOn w:val="Normal"/>
    <w:next w:val="Normal"/>
    <w:qFormat/>
    <w:pPr>
      <w:keepNext/>
      <w:keepLines/>
      <w:spacing w:before="220" w:after="100"/>
    </w:pPr>
    <w:rPr>
      <w:rFonts w:ascii="Outfit" w:cs="Outfit" w:eastAsia="Outfit" w:hAnsi="Outfit"/>
      <w:b/>
      <w:bCs/>
      <w:color w:val="334155"/>
      <w:sz w:val="26"/>
      <w:szCs w:val="26"/>
    </w:rPr>
  </w:style>
  <w:style w:type="paragraph" w:styleId="Heading3">
    <w:name w:val="Heading 3"/>
    <w:basedOn w:val="Normal"/>
    <w:next w:val="Normal"/>
    <w:qFormat/>
    <w:pPr>
      <w:keepNext/>
      <w:keepLines/>
      <w:spacing w:before="180" w:after="80"/>
    </w:pPr>
    <w:rPr>
      <w:rFonts w:ascii="Outfit" w:cs="Outfit" w:eastAsia="Outfit" w:hAnsi="Outfit"/>
      <w:b/>
      <w:bCs/>
      <w:color w:val="334155"/>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ef57c0eedc35b8d8df3f82ed7cb1e8def14b634c.png"/><Relationship Id="rId9"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17195424617f5b65452e3df2f081052e219ab773.png"/><Relationship Id="rId1" Type="http://schemas.openxmlformats.org/officeDocument/2006/relationships/image" Target="media/37267850775ff5bb2b1e2fc52089269a395cac97.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Coffee &amp; Law</dc:creator>
  <cp:lastModifiedBy>Un-named</cp:lastModifiedBy>
  <cp:revision>1</cp:revision>
  <dcterms:created xsi:type="dcterms:W3CDTF">2026-06-28T07:59:34.897Z</dcterms:created>
  <dcterms:modified xsi:type="dcterms:W3CDTF">2026-06-28T07:59:34.898Z</dcterms:modified>
</cp:coreProperties>
</file>

<file path=docProps/custom.xml><?xml version="1.0" encoding="utf-8"?>
<Properties xmlns="http://schemas.openxmlformats.org/officeDocument/2006/custom-properties" xmlns:vt="http://schemas.openxmlformats.org/officeDocument/2006/docPropsVTypes"/>
</file>