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spacing w:before="360" w:after="40"/>
        <w:jc w:val="left"/>
      </w:pPr>
      <w:r>
        <w:rPr>
          <w:rFonts w:ascii="Playfair Display" w:cs="Playfair Display" w:eastAsia="Playfair Display" w:hAnsi="Playfair Display"/>
          <w:b/>
          <w:bCs/>
          <w:color w:val="0F172A"/>
          <w:sz w:val="56"/>
          <w:szCs w:val="56"/>
        </w:rPr>
        <w:t xml:space="preserve">Executive Summary</w:t>
      </w:r>
    </w:p>
    <w:p>
      <w:pPr>
        <w:spacing w:after="300"/>
        <w:jc w:val="left"/>
      </w:pPr>
      <w:r>
        <w:rPr>
          <w:rFonts w:ascii="Inter" w:cs="Inter" w:eastAsia="Inter" w:hAnsi="Inter"/>
          <w:color w:val="475569"/>
          <w:sz w:val="24"/>
          <w:szCs w:val="24"/>
        </w:rPr>
        <w:t xml:space="preserve">How 15-minute coffee chats rebuild connection — and revenue — across your firm</w:t>
      </w:r>
    </w:p>
    <w:p>
      <w:r>
        <w:t xml:space="preserve">A one-page case for leadership: what quietly broke in how your lawyers connect, how Coffee &amp; Law fixes it without adding work, and what it costs you (nothing).</w:t>
      </w:r>
    </w:p>
    <w:p>
      <w:pPr>
        <w:pStyle w:val="Heading2"/>
      </w:pPr>
      <w:r>
        <w:t xml:space="preserve">The problem hiding in plain sight</w:t>
      </w:r>
    </w:p>
    <w:p>
      <w:r>
        <w:t xml:space="preserve">Hybrid schedules and multiple offices have quietly dismantled the hallway conversations that used to hold a firm together. Associates leave because they never felt part of the place. Partners refer work outside the building because they don’t know the colleague three floors up who handles exactly that matter. None of it shows up as a line item — but the silos cost firms real money in attrition and missed referrals.</w:t>
      </w:r>
    </w:p>
    <w:p>
      <w:pPr>
        <w:pStyle w:val="Heading2"/>
      </w:pPr>
      <w:r>
        <w:t xml:space="preserve">A fix that runs itself</w:t>
      </w:r>
    </w:p>
    <w:p>
      <w:r>
        <w:t xml:space="preserve">Coffee &amp; Law automatically pairs lawyers for short, informal coffee chats — across practice groups, offices, and seniority. No coordinator, no spreadsheets, no calendar wrangling. It simply rebuilds the organic networking that once happened on its own, one fifteen-minute conversation at a time.</w:t>
      </w:r>
    </w:p>
    <w:p>
      <w:pPr>
        <w:pStyle w:val="Heading2"/>
      </w:pPr>
      <w:r>
        <w:t xml:space="preserve">By the numbers</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gridCol w:w="100"/>
        <w:gridCol w:w="100"/>
      </w:tblGrid>
      <w:tr>
        <w:trPr>
          <w:cantSplit/>
          <w:tblHeader/>
        </w:trPr>
        <w:tc>
          <w:tcPr>
            <w:shd w:fill="F1F5F9" w:color="auto" w:val="clear"/>
            <w:tcMar>
              <w:top w:type="dxa" w:w="80"/>
              <w:left w:type="dxa" w:w="120"/>
              <w:bottom w:type="dxa" w:w="80"/>
              <w:right w:type="dxa" w:w="120"/>
            </w:tcMar>
            <w:vAlign w:val="center"/>
          </w:tcPr>
          <w:p>
            <w:pPr>
              <w:jc w:val="left"/>
            </w:pPr>
            <w:r>
              <w:rPr>
                <w:rFonts w:ascii="Outfit" w:cs="Outfit" w:eastAsia="Outfit" w:hAnsi="Outfit"/>
                <w:b/>
                <w:bCs/>
                <w:color w:val="0F172A"/>
                <w:sz w:val="20"/>
                <w:szCs w:val="20"/>
              </w:rPr>
              <w:t xml:space="preserve">15%</w:t>
            </w:r>
          </w:p>
        </w:tc>
        <w:tc>
          <w:tcPr>
            <w:shd w:fill="F1F5F9" w:color="auto" w:val="clear"/>
            <w:tcMar>
              <w:top w:type="dxa" w:w="80"/>
              <w:left w:type="dxa" w:w="120"/>
              <w:bottom w:type="dxa" w:w="80"/>
              <w:right w:type="dxa" w:w="120"/>
            </w:tcMar>
            <w:vAlign w:val="center"/>
          </w:tcPr>
          <w:p>
            <w:pPr>
              <w:jc w:val="left"/>
            </w:pPr>
            <w:r>
              <w:rPr>
                <w:rFonts w:ascii="Outfit" w:cs="Outfit" w:eastAsia="Outfit" w:hAnsi="Outfit"/>
                <w:b/>
                <w:bCs/>
                <w:color w:val="0F172A"/>
                <w:sz w:val="20"/>
                <w:szCs w:val="20"/>
              </w:rPr>
              <w:t xml:space="preserve">20%</w:t>
            </w:r>
          </w:p>
        </w:tc>
        <w:tc>
          <w:tcPr>
            <w:shd w:fill="F1F5F9" w:color="auto" w:val="clear"/>
            <w:tcMar>
              <w:top w:type="dxa" w:w="80"/>
              <w:left w:type="dxa" w:w="120"/>
              <w:bottom w:type="dxa" w:w="80"/>
              <w:right w:type="dxa" w:w="120"/>
            </w:tcMar>
            <w:vAlign w:val="center"/>
          </w:tcPr>
          <w:p>
            <w:pPr>
              <w:jc w:val="left"/>
            </w:pPr>
            <w:r>
              <w:rPr>
                <w:rFonts w:ascii="Outfit" w:cs="Outfit" w:eastAsia="Outfit" w:hAnsi="Outfit"/>
                <w:b/>
                <w:bCs/>
                <w:color w:val="0F172A"/>
                <w:sz w:val="20"/>
                <w:szCs w:val="20"/>
              </w:rPr>
              <w:t xml:space="preserve">Free</w:t>
            </w:r>
          </w:p>
        </w:tc>
      </w:tr>
      <w:tr>
        <w:trPr>
          <w:cantSplit/>
        </w:trPr>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Lower associate attrition</w:t>
            </w:r>
          </w:p>
        </w:tc>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More cross-practice referrals</w:t>
            </w:r>
          </w:p>
        </w:tc>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No cost, no credit card required</w:t>
            </w:r>
          </w:p>
        </w:tc>
      </w:tr>
    </w:tbl>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THE WHOLE PITCH IN ONE LINE</w:t>
            </w:r>
          </w:p>
          <w:p>
            <w:pPr>
              <w:jc w:val="left"/>
            </w:pPr>
            <w:r>
              <w:rPr>
                <w:rFonts w:ascii="Inter" w:cs="Inter" w:eastAsia="Inter" w:hAnsi="Inter"/>
                <w:color w:val="334155"/>
                <w:sz w:val="22"/>
                <w:szCs w:val="22"/>
              </w:rPr>
              <w:t xml:space="preserve">Fifteen minutes every two weeks, fully automated, completely free — and a single cross-practice referral pays it back many times over.</w:t>
            </w:r>
          </w:p>
        </w:tc>
      </w:tr>
    </w:tbl>
    <w:tbl>
      <w:tblPr>
        <w:tblW w:type="dxa" w:w="3400"/>
        <w:jc w:val="center"/>
        <w:tblBorders>
          <w:top w:val="none" w:color="auto" w:sz="0"/>
          <w:left w:val="none" w:color="auto" w:sz="0"/>
          <w:bottom w:val="none" w:color="auto" w:sz="0"/>
          <w:right w:val="none" w:color="auto" w:sz="0"/>
          <w:insideH w:val="none" w:color="auto" w:sz="0"/>
          <w:insideV w:val="none" w:color="auto" w:sz="0"/>
        </w:tblBorders>
        <w:tblLayout w:type="fixed"/>
      </w:tblPr>
      <w:tblGrid>
        <w:gridCol w:w="3400"/>
      </w:tblGrid>
      <w:tr>
        <w:trPr>
          <w:cantSplit/>
        </w:trPr>
        <w:tc>
          <w:tcPr>
            <w:shd w:fill="0F172A" w:color="auto" w:val="clear"/>
            <w:tcMar>
              <w:top w:type="dxa" w:w="150"/>
              <w:left w:type="dxa" w:w="220"/>
              <w:bottom w:type="dxa" w:w="150"/>
              <w:right w:type="dxa" w:w="220"/>
            </w:tcMar>
            <w:vAlign w:val="center"/>
          </w:tcPr>
          <w:p>
            <w:pPr>
              <w:spacing w:before="0" w:after="0" w:line="240"/>
              <w:jc w:val="center"/>
            </w:pPr>
            <w:r>
              <w:rPr>
                <w:rFonts w:ascii="Outfit" w:cs="Outfit" w:eastAsia="Outfit" w:hAnsi="Outfit"/>
                <w:b/>
                <w:bCs/>
                <w:color w:val="FFFFFF"/>
                <w:spacing w:val="10"/>
                <w:sz w:val="26"/>
                <w:szCs w:val="26"/>
              </w:rPr>
              <w:t xml:space="preserve">Start for free</w:t>
            </w:r>
          </w:p>
        </w:tc>
      </w:tr>
    </w:tbl>
    <w:p>
      <w:pPr>
        <w:jc w:val="center"/>
      </w:pPr>
      <w:r>
        <w:t xml:space="preserve">coffee-and-law.com</w:t>
      </w:r>
    </w:p>
    <w:sectPr>
      <w:headerReference w:type="default" r:id="rId6"/>
      <w:footerReference w:type="default" r:id="rId7"/>
      <w:pgSz w:w="11906" w:h="16838" w:orient="portrait"/>
      <w:pgMar w:top="1440" w:right="1080" w:bottom="1440" w:left="1080" w:header="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w="http://schemas.openxmlformats.org/wordprocessingml/2006/main" xmlns:r="http://schemas.openxmlformats.org/officeDocument/2006/relationships">
  <w:font w:name="Inter">
    <w:panose1 w:val="020B0604020202020204"/>
    <w:charset w:val="00"/>
    <w:family w:val="swiss"/>
    <w:pitch w:val="variable"/>
  </w:font>
  <w:font w:name="Outfit">
    <w:panose1 w:val="020B0604020202020204"/>
    <w:charset w:val="00"/>
    <w:family w:val="swiss"/>
    <w:pitch w:val="variable"/>
  </w:font>
  <w:font w:name="Playfair Display">
    <w:panose1 w:val="02040603050405020304"/>
    <w:charset w:val="00"/>
    <w:family w:val="roman"/>
    <w:pitch w:val="variable"/>
  </w:font>
  <w:font w:name="Consolas">
    <w:panose1 w:val="020B0609020204030204"/>
    <w:charset w:val="00"/>
    <w:family w:val="modern"/>
    <w:pitch w:val="fix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8F0" w:sz="4" w:space="8"/>
      </w:pBdr>
      <w:jc w:val="center"/>
    </w:pPr>
    <w:r>
      <w:rPr>
        <w:rFonts w:ascii="Inter" w:cs="Inter" w:eastAsia="Inter" w:hAnsi="Inter"/>
        <w:color w:val="94A3B8"/>
        <w:sz w:val="16"/>
        <w:szCs w:val="16"/>
      </w:rPr>
      <w:t xml:space="preserve">Coffee &amp; Law  ·  https://www.coffee-and-law.com  ·  Page </w:t>
    </w:r>
    <w:r>
      <w:rPr>
        <w:rFonts w:ascii="Inter" w:cs="Inter" w:eastAsia="Inter" w:hAnsi="Inter"/>
        <w:color w:val="94A3B8"/>
        <w:sz w:val="16"/>
        <w:szCs w:val="16"/>
      </w:rPr>
      <w:fldChar w:fldCharType="begin"/>
      <w:instrText xml:space="preserve">PAGE</w:instrText>
      <w:fldChar w:fldCharType="separate"/>
      <w:fldChar w:fldCharType="end"/>
    </w:r>
    <w:r>
      <w:rPr>
        <w:rFonts w:ascii="Inter" w:cs="Inter" w:eastAsia="Inter" w:hAnsi="Inter"/>
        <w:color w:val="94A3B8"/>
        <w:sz w:val="16"/>
        <w:szCs w:val="16"/>
      </w:rPr>
      <w:t xml:space="preserve"> of </w:t>
    </w:r>
    <w:r>
      <w:rPr>
        <w:rFonts w:ascii="Inter" w:cs="Inter" w:eastAsia="Inter" w:hAnsi="Inter"/>
        <w:color w:val="94A3B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1906"/>
      <w:tblInd w:type="dxa" w:w="-1080"/>
      <w:tblBorders>
        <w:top w:val="none" w:color="auto" w:sz="0"/>
        <w:left w:val="none" w:color="auto" w:sz="0"/>
        <w:bottom w:val="none" w:color="auto" w:sz="0"/>
        <w:right w:val="none" w:color="auto" w:sz="0"/>
        <w:insideH w:val="none" w:color="auto" w:sz="0"/>
        <w:insideV w:val="none" w:color="auto" w:sz="0"/>
      </w:tblBorders>
      <w:tblLayout w:type="fixed"/>
    </w:tblPr>
    <w:tblGrid>
      <w:gridCol w:w="1780"/>
      <w:gridCol w:w="10126"/>
    </w:tblGrid>
    <w:tr>
      <w:trPr>
        <w:trHeight w:val="780" w:hRule="exact"/>
      </w:trPr>
      <w:tc>
        <w:tcPr>
          <w:tcW w:type="dxa" w:w="1780"/>
          <w:tcBorders>
            <w:top w:val="none" w:color="auto" w:sz="0"/>
            <w:left w:val="none" w:color="auto" w:sz="0"/>
            <w:bottom w:val="none" w:color="auto" w:sz="0"/>
            <w:right w:val="none" w:color="auto" w:sz="0"/>
          </w:tcBorders>
          <w:shd w:fill="262E3F" w:color="auto" w:val="clear"/>
          <w:tcMar>
            <w:top w:type="dxa" w:w="0"/>
            <w:left w:type="dxa" w:w="1080"/>
            <w:bottom w:type="dxa" w:w="0"/>
            <w:right w:type="dxa" w:w="0"/>
          </w:tcMar>
          <w:vAlign w:val="center"/>
        </w:tcPr>
        <w:p>
          <w:pPr>
            <w:spacing w:before="0" w:after="0"/>
          </w:pPr>
          <w:r>
            <w:drawing>
              <wp:inline distT="0" distB="0" distL="0" distR="0">
                <wp:extent cx="266700" cy="266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pic:cNvPicPr>
                          <a:picLocks noChangeAspect="1" noChangeArrowheads="1"/>
                        </pic:cNvPicPr>
                      </pic:nvPicPr>
                      <pic:blipFill>
                        <a:blip r:embed="rId0" cstate="none"/>
                        <a:srcRect/>
                        <a:stretch>
                          <a:fillRect/>
                        </a:stretch>
                      </pic:blipFill>
                      <pic:spPr bwMode="auto">
                        <a:xfrm>
                          <a:off x="0" y="0"/>
                          <a:ext cx="266700" cy="266700"/>
                        </a:xfrm>
                        <a:prstGeom prst="rect">
                          <a:avLst/>
                        </a:prstGeom>
                      </pic:spPr>
                    </pic:pic>
                  </a:graphicData>
                </a:graphic>
              </wp:inline>
            </w:drawing>
          </w:r>
        </w:p>
      </w:tc>
      <w:tc>
        <w:tcPr>
          <w:tcW w:type="dxa" w:w="10126"/>
          <w:tcBorders>
            <w:top w:val="none" w:color="auto" w:sz="0"/>
            <w:left w:val="none" w:color="auto" w:sz="0"/>
            <w:bottom w:val="none" w:color="auto" w:sz="0"/>
            <w:right w:val="none" w:color="auto" w:sz="0"/>
          </w:tcBorders>
          <w:shd w:fill="262E3F" w:color="auto" w:val="clear"/>
          <w:tcMar>
            <w:top w:type="dxa" w:w="0"/>
            <w:left w:type="dxa" w:w="90"/>
            <w:bottom w:type="dxa" w:w="0"/>
            <w:right w:type="dxa" w:w="1080"/>
          </w:tcMar>
          <w:vAlign w:val="center"/>
        </w:tcPr>
        <w:p>
          <w:pPr>
            <w:spacing w:before="0" w:after="0" w:line="240"/>
          </w:pPr>
          <w:r>
            <w:rPr>
              <w:rFonts w:ascii="Playfair Display" w:cs="Playfair Display" w:eastAsia="Playfair Display" w:hAnsi="Playfair Display"/>
              <w:b/>
              <w:bCs/>
              <w:color w:val="FFFFFF"/>
              <w:sz w:val="32"/>
              <w:szCs w:val="32"/>
            </w:rPr>
            <w:t xml:space="preserve">Coffee &amp; Law</w:t>
          </w:r>
        </w:p>
      </w:tc>
    </w:tr>
  </w:tbl>
  <w:p>
    <w:pPr>
      <w:spacing w:before="0" w:after="0" w:line="1"/>
    </w:pPr>
    <w:r>
      <w:drawing>
        <wp:anchor distT="0" distB="0" distL="0" distR="0" simplePos="0" allowOverlap="1" behindDoc="1" locked="0" layoutInCell="1" relativeHeight="10696575">
          <wp:simplePos x="0" y="0"/>
          <wp:positionH relativeFrom="page">
            <wp:align>center</wp:align>
          </wp:positionH>
          <wp:positionV relativeFrom="page">
            <wp:align>center</wp:align>
          </wp:positionV>
          <wp:extent cx="7562850" cy="10696575"/>
          <wp:effectExtent t="0" r="0" b="0" l="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descr=""/>
                  <pic:cNvPicPr>
                    <a:picLocks noChangeAspect="1" noChangeArrowheads="1"/>
                  </pic:cNvPicPr>
                </pic:nvPicPr>
                <pic:blipFill>
                  <a:blip r:embed="rId1" cstate="none"/>
                  <a:srcRect/>
                  <a:stretch>
                    <a:fillRect/>
                  </a:stretch>
                </pic:blipFill>
                <pic:spPr bwMode="auto">
                  <a:xfrm>
                    <a:off x="0" y="0"/>
                    <a:ext cx="7562850" cy="106965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autoHyphenation/>
  <w:doNotHyphenateCap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475569"/>
        <w:sz w:val="22"/>
        <w:szCs w:val="22"/>
      </w:rPr>
    </w:rPrDefault>
    <w:pPrDefault>
      <w:pPr>
        <w:spacing w:line="300"/>
        <w:jc w:val="both"/>
      </w:pPr>
    </w:pPrDefault>
  </w:docDefaults>
  <w:style w:type="paragraph" w:styleId="Title">
    <w:name w:val="Title"/>
    <w:basedOn w:val="Normal"/>
    <w:next w:val="Normal"/>
    <w:qFormat/>
    <w:pPr>
      <w:keepNext/>
      <w:keepLines/>
      <w:spacing w:after="160"/>
    </w:pPr>
    <w:rPr>
      <w:rFonts w:ascii="Playfair Display" w:cs="Playfair Display" w:eastAsia="Playfair Display" w:hAnsi="Playfair Display"/>
      <w:b/>
      <w:bCs/>
      <w:color w:val="0F172A"/>
      <w:sz w:val="56"/>
      <w:szCs w:val="56"/>
    </w:rPr>
  </w:style>
  <w:style w:type="paragraph" w:styleId="Heading1">
    <w:name w:val="Heading 1"/>
    <w:basedOn w:val="Normal"/>
    <w:next w:val="Normal"/>
    <w:qFormat/>
    <w:pPr>
      <w:keepNext/>
      <w:keepLines/>
      <w:spacing w:before="280" w:after="120"/>
    </w:pPr>
    <w:rPr>
      <w:rFonts w:ascii="Outfit" w:cs="Outfit" w:eastAsia="Outfit" w:hAnsi="Outfit"/>
      <w:b/>
      <w:bCs/>
      <w:color w:val="0F172A"/>
      <w:sz w:val="32"/>
      <w:szCs w:val="32"/>
    </w:rPr>
  </w:style>
  <w:style w:type="paragraph" w:styleId="Heading2">
    <w:name w:val="Heading 2"/>
    <w:basedOn w:val="Normal"/>
    <w:next w:val="Normal"/>
    <w:qFormat/>
    <w:pPr>
      <w:keepNext/>
      <w:keepLines/>
      <w:spacing w:before="220" w:after="100"/>
    </w:pPr>
    <w:rPr>
      <w:rFonts w:ascii="Outfit" w:cs="Outfit" w:eastAsia="Outfit" w:hAnsi="Outfit"/>
      <w:b/>
      <w:bCs/>
      <w:color w:val="334155"/>
      <w:sz w:val="26"/>
      <w:szCs w:val="26"/>
    </w:rPr>
  </w:style>
  <w:style w:type="paragraph" w:styleId="Heading3">
    <w:name w:val="Heading 3"/>
    <w:basedOn w:val="Normal"/>
    <w:next w:val="Normal"/>
    <w:qFormat/>
    <w:pPr>
      <w:keepNext/>
      <w:keepLines/>
      <w:spacing w:before="180" w:after="80"/>
    </w:pPr>
    <w:rPr>
      <w:rFonts w:ascii="Outfit" w:cs="Outfit" w:eastAsia="Outfit" w:hAnsi="Outfit"/>
      <w:b/>
      <w:bCs/>
      <w:color w:val="334155"/>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17195424617f5b65452e3df2f081052e219ab773.png"/><Relationship Id="rId1" Type="http://schemas.openxmlformats.org/officeDocument/2006/relationships/image" Target="media/37267850775ff5bb2b1e2fc52089269a395cac97.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Coffee &amp; Law</dc:creator>
  <cp:lastModifiedBy>Un-named</cp:lastModifiedBy>
  <cp:revision>1</cp:revision>
  <dcterms:created xsi:type="dcterms:W3CDTF">2026-06-28T07:59:35.133Z</dcterms:created>
  <dcterms:modified xsi:type="dcterms:W3CDTF">2026-06-28T07:59:35.133Z</dcterms:modified>
</cp:coreProperties>
</file>

<file path=docProps/custom.xml><?xml version="1.0" encoding="utf-8"?>
<Properties xmlns="http://schemas.openxmlformats.org/officeDocument/2006/custom-properties" xmlns:vt="http://schemas.openxmlformats.org/officeDocument/2006/docPropsVTypes"/>
</file>